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05709" w14:textId="77777777" w:rsidR="00496804" w:rsidRDefault="00496804">
      <w:pPr>
        <w:spacing w:line="240" w:lineRule="auto"/>
        <w:rPr>
          <w:rFonts w:ascii="Times New Roman" w:hAnsi="Times New Roman"/>
          <w:sz w:val="24"/>
        </w:rPr>
      </w:pPr>
      <w:bookmarkStart w:id="0" w:name="_Ref26395725"/>
      <w:bookmarkStart w:id="1" w:name="_GoBack"/>
      <w:bookmarkEnd w:id="1"/>
    </w:p>
    <w:p w14:paraId="45D0570A" w14:textId="77777777" w:rsidR="00496804" w:rsidRDefault="0037359D">
      <w:pPr>
        <w:rPr>
          <w:rFonts w:ascii="Times New Roman" w:hAnsi="Times New Roman"/>
          <w:b/>
        </w:rPr>
      </w:pPr>
      <w:r>
        <w:rPr>
          <w:rFonts w:ascii="Times New Roman" w:hAnsi="Times New Roman"/>
          <w:b/>
          <w:noProof/>
          <w:lang w:eastAsia="hr-HR"/>
        </w:rPr>
        <mc:AlternateContent>
          <mc:Choice Requires="wpg">
            <w:drawing>
              <wp:anchor distT="0" distB="0" distL="114300" distR="114300" simplePos="0" relativeHeight="251658240" behindDoc="0" locked="0" layoutInCell="1" allowOverlap="1" wp14:anchorId="45D061EF" wp14:editId="45D061F0">
                <wp:simplePos x="0" y="0"/>
                <wp:positionH relativeFrom="margin">
                  <wp:align>center</wp:align>
                </wp:positionH>
                <wp:positionV relativeFrom="paragraph">
                  <wp:posOffset>9525</wp:posOffset>
                </wp:positionV>
                <wp:extent cx="2907030" cy="617220"/>
                <wp:effectExtent l="0" t="0" r="0" b="0"/>
                <wp:wrapNone/>
                <wp:docPr id="18" name="Grupa 18"/>
                <wp:cNvGraphicFramePr/>
                <a:graphic xmlns:a="http://schemas.openxmlformats.org/drawingml/2006/main">
                  <a:graphicData uri="http://schemas.microsoft.com/office/word/2010/wordprocessingGroup">
                    <wpg:wgp>
                      <wpg:cNvGrpSpPr/>
                      <wpg:grpSpPr>
                        <a:xfrm>
                          <a:off x="0" y="0"/>
                          <a:ext cx="2906950" cy="617220"/>
                          <a:chOff x="-68500" y="0"/>
                          <a:chExt cx="2906950" cy="617220"/>
                        </a:xfrm>
                      </wpg:grpSpPr>
                      <pic:pic xmlns:pic="http://schemas.openxmlformats.org/drawingml/2006/picture">
                        <pic:nvPicPr>
                          <pic:cNvPr id="44" name="Picture 1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68500" y="44728"/>
                            <a:ext cx="438984" cy="518541"/>
                          </a:xfrm>
                          <a:prstGeom prst="rect">
                            <a:avLst/>
                          </a:prstGeom>
                          <a:noFill/>
                          <a:ln>
                            <a:noFill/>
                          </a:ln>
                        </pic:spPr>
                      </pic:pic>
                      <wps:wsp>
                        <wps:cNvPr id="45" name="TextBox 15"/>
                        <wps:cNvSpPr txBox="1">
                          <a:spLocks noChangeArrowheads="1"/>
                        </wps:cNvSpPr>
                        <wps:spPr bwMode="auto">
                          <a:xfrm>
                            <a:off x="400050" y="0"/>
                            <a:ext cx="2438400" cy="617220"/>
                          </a:xfrm>
                          <a:prstGeom prst="rect">
                            <a:avLst/>
                          </a:prstGeom>
                          <a:noFill/>
                          <a:ln>
                            <a:noFill/>
                          </a:ln>
                        </wps:spPr>
                        <wps:txbx>
                          <w:txbxContent>
                            <w:p w14:paraId="45D0628C" w14:textId="77777777" w:rsidR="00EA4B77" w:rsidRDefault="00EA4B77">
                              <w:pPr>
                                <w:spacing w:line="240" w:lineRule="auto"/>
                                <w:rPr>
                                  <w:rFonts w:ascii="Times New Roman" w:hAnsi="Times New Roman"/>
                                  <w:sz w:val="24"/>
                                </w:rPr>
                              </w:pPr>
                              <w:r>
                                <w:rPr>
                                  <w:rFonts w:ascii="Times New Roman" w:hAnsi="Times New Roman"/>
                                  <w:b/>
                                  <w:bCs/>
                                  <w:color w:val="000000"/>
                                  <w:kern w:val="24"/>
                                  <w:sz w:val="24"/>
                                  <w:lang w:bidi="ta-IN"/>
                                </w:rPr>
                                <w:t>REPUBLI</w:t>
                              </w:r>
                              <w:r>
                                <w:rPr>
                                  <w:rFonts w:ascii="Times New Roman" w:hAnsi="Times New Roman"/>
                                  <w:b/>
                                  <w:bCs/>
                                  <w:color w:val="000000"/>
                                  <w:kern w:val="24"/>
                                  <w:sz w:val="24"/>
                                </w:rPr>
                                <w:t>KA HRVATSKA</w:t>
                              </w:r>
                            </w:p>
                            <w:p w14:paraId="45D0628D" w14:textId="77777777" w:rsidR="00EA4B77" w:rsidRDefault="00EA4B77">
                              <w:pPr>
                                <w:spacing w:line="240" w:lineRule="auto"/>
                                <w:rPr>
                                  <w:rFonts w:ascii="Times New Roman" w:hAnsi="Times New Roman"/>
                                  <w:sz w:val="24"/>
                                </w:rPr>
                              </w:pPr>
                              <w:r>
                                <w:rPr>
                                  <w:rFonts w:ascii="Times New Roman" w:hAnsi="Times New Roman"/>
                                  <w:color w:val="000000"/>
                                  <w:kern w:val="24"/>
                                  <w:sz w:val="24"/>
                                </w:rPr>
                                <w:t>Ministarstvo prostornoga uređenja, graditeljstva i državne imovine</w:t>
                              </w:r>
                            </w:p>
                          </w:txbxContent>
                        </wps:txbx>
                        <wps:bodyPr wrap="square">
                          <a:spAutoFit/>
                        </wps:bodyPr>
                      </wps:wsp>
                    </wpg:wgp>
                  </a:graphicData>
                </a:graphic>
              </wp:anchor>
            </w:drawing>
          </mc:Choice>
          <mc:Fallback>
            <w:pict>
              <v:group w14:anchorId="45D061EF" id="Grupa 18" o:spid="_x0000_s1026" style="position:absolute;left:0;text-align:left;margin-left:0;margin-top:.75pt;width:228.9pt;height:48.6pt;z-index:251658240;mso-position-horizontal:center;mso-position-horizontal-relative:margin" coordorigin="-685" coordsize="29069,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85;top:447;width:4389;height: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Box 15" o:spid="_x0000_s1028" type="#_x0000_t202" style="position:absolute;left:4000;width:2438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5D0628C" w14:textId="77777777" w:rsidR="00EA4B77" w:rsidRDefault="00EA4B77">
                        <w:pPr>
                          <w:spacing w:line="240" w:lineRule="auto"/>
                          <w:rPr>
                            <w:rFonts w:ascii="Times New Roman" w:hAnsi="Times New Roman"/>
                            <w:sz w:val="24"/>
                          </w:rPr>
                        </w:pPr>
                        <w:r>
                          <w:rPr>
                            <w:rFonts w:ascii="Times New Roman" w:hAnsi="Times New Roman"/>
                            <w:b/>
                            <w:bCs/>
                            <w:color w:val="000000"/>
                            <w:kern w:val="24"/>
                            <w:sz w:val="24"/>
                            <w:lang w:bidi="ta-IN"/>
                          </w:rPr>
                          <w:t>REPUBLI</w:t>
                        </w:r>
                        <w:r>
                          <w:rPr>
                            <w:rFonts w:ascii="Times New Roman" w:hAnsi="Times New Roman"/>
                            <w:b/>
                            <w:bCs/>
                            <w:color w:val="000000"/>
                            <w:kern w:val="24"/>
                            <w:sz w:val="24"/>
                          </w:rPr>
                          <w:t>KA HRVATSKA</w:t>
                        </w:r>
                      </w:p>
                      <w:p w14:paraId="45D0628D" w14:textId="77777777" w:rsidR="00EA4B77" w:rsidRDefault="00EA4B77">
                        <w:pPr>
                          <w:spacing w:line="240" w:lineRule="auto"/>
                          <w:rPr>
                            <w:rFonts w:ascii="Times New Roman" w:hAnsi="Times New Roman"/>
                            <w:sz w:val="24"/>
                          </w:rPr>
                        </w:pPr>
                        <w:r>
                          <w:rPr>
                            <w:rFonts w:ascii="Times New Roman" w:hAnsi="Times New Roman"/>
                            <w:color w:val="000000"/>
                            <w:kern w:val="24"/>
                            <w:sz w:val="24"/>
                          </w:rPr>
                          <w:t>Ministarstvo prostornoga uređenja, graditeljstva i državne imovine</w:t>
                        </w:r>
                      </w:p>
                    </w:txbxContent>
                  </v:textbox>
                </v:shape>
                <w10:wrap anchorx="margin"/>
              </v:group>
            </w:pict>
          </mc:Fallback>
        </mc:AlternateContent>
      </w:r>
    </w:p>
    <w:p w14:paraId="45D0570B" w14:textId="77777777" w:rsidR="00496804" w:rsidRDefault="00496804">
      <w:pPr>
        <w:rPr>
          <w:rFonts w:ascii="Times New Roman" w:hAnsi="Times New Roman"/>
          <w:b/>
        </w:rPr>
      </w:pPr>
    </w:p>
    <w:p w14:paraId="45D0570C" w14:textId="77777777" w:rsidR="00496804" w:rsidRDefault="00496804">
      <w:pPr>
        <w:rPr>
          <w:rFonts w:ascii="Times New Roman" w:hAnsi="Times New Roman"/>
          <w:b/>
        </w:rPr>
      </w:pPr>
    </w:p>
    <w:p w14:paraId="45D0570D" w14:textId="77777777" w:rsidR="00496804" w:rsidRDefault="00496804">
      <w:pPr>
        <w:rPr>
          <w:rFonts w:ascii="Times New Roman" w:hAnsi="Times New Roman"/>
          <w:b/>
        </w:rPr>
      </w:pPr>
    </w:p>
    <w:p w14:paraId="45D0570E" w14:textId="77777777" w:rsidR="00496804" w:rsidRDefault="00496804">
      <w:pPr>
        <w:rPr>
          <w:rFonts w:ascii="Times New Roman" w:hAnsi="Times New Roman"/>
          <w:b/>
        </w:rPr>
      </w:pPr>
    </w:p>
    <w:p w14:paraId="45D0570F" w14:textId="77777777" w:rsidR="00496804" w:rsidRDefault="0037359D">
      <w:pPr>
        <w:rPr>
          <w:rFonts w:ascii="Times New Roman" w:hAnsi="Times New Roman"/>
          <w:b/>
        </w:rPr>
      </w:pPr>
      <w:r>
        <w:t> </w:t>
      </w:r>
    </w:p>
    <w:p w14:paraId="45D05710" w14:textId="77777777" w:rsidR="00496804" w:rsidRDefault="00496804">
      <w:pPr>
        <w:rPr>
          <w:rFonts w:ascii="Times New Roman" w:hAnsi="Times New Roman"/>
          <w:b/>
        </w:rPr>
      </w:pPr>
    </w:p>
    <w:p w14:paraId="45D05711" w14:textId="77777777" w:rsidR="00496804" w:rsidRDefault="0037359D">
      <w:pPr>
        <w:rPr>
          <w:rFonts w:ascii="Times New Roman" w:hAnsi="Times New Roman"/>
          <w:b/>
        </w:rPr>
      </w:pPr>
      <w:r>
        <w:rPr>
          <w:rFonts w:ascii="Times New Roman" w:hAnsi="Times New Roman"/>
          <w:b/>
          <w:noProof/>
          <w:lang w:eastAsia="hr-HR"/>
        </w:rPr>
        <mc:AlternateContent>
          <mc:Choice Requires="wps">
            <w:drawing>
              <wp:anchor distT="0" distB="0" distL="114300" distR="114300" simplePos="0" relativeHeight="251658241" behindDoc="0" locked="0" layoutInCell="1" allowOverlap="1" wp14:anchorId="45D061F1" wp14:editId="45D061F2">
                <wp:simplePos x="0" y="0"/>
                <wp:positionH relativeFrom="margin">
                  <wp:posOffset>-635</wp:posOffset>
                </wp:positionH>
                <wp:positionV relativeFrom="paragraph">
                  <wp:posOffset>149860</wp:posOffset>
                </wp:positionV>
                <wp:extent cx="5817235" cy="0"/>
                <wp:effectExtent l="0" t="0" r="0" b="0"/>
                <wp:wrapNone/>
                <wp:docPr id="9" name="Ravni poveznik 9"/>
                <wp:cNvGraphicFramePr/>
                <a:graphic xmlns:a="http://schemas.openxmlformats.org/drawingml/2006/main">
                  <a:graphicData uri="http://schemas.microsoft.com/office/word/2010/wordprocessingShape">
                    <wps:wsp>
                      <wps:cNvCnPr/>
                      <wps:spPr>
                        <a:xfrm>
                          <a:off x="0" y="0"/>
                          <a:ext cx="5817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7A03A" id="Ravni poveznik 9" o:spid="_x0000_s1026" style="position:absolute;z-index:251658241;visibility:visible;mso-wrap-style:square;mso-wrap-distance-left:9pt;mso-wrap-distance-top:0;mso-wrap-distance-right:9pt;mso-wrap-distance-bottom:0;mso-position-horizontal:absolute;mso-position-horizontal-relative:margin;mso-position-vertical:absolute;mso-position-vertical-relative:text" from="-.05pt,11.8pt" to="45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" strokecolor="black [3213]" strokeweight="1pt">
                <v:stroke endcap="round"/>
                <w10:wrap anchorx="margin"/>
              </v:line>
            </w:pict>
          </mc:Fallback>
        </mc:AlternateContent>
      </w:r>
    </w:p>
    <w:p w14:paraId="45D05712" w14:textId="77777777" w:rsidR="00496804" w:rsidRDefault="00496804">
      <w:pPr>
        <w:pStyle w:val="Zaglavlje"/>
        <w:jc w:val="center"/>
        <w:rPr>
          <w:rFonts w:ascii="Times New Roman" w:hAnsi="Times New Roman" w:cs="Times New Roman"/>
          <w:b/>
          <w:bCs/>
          <w:color w:val="auto"/>
          <w:sz w:val="22"/>
          <w:szCs w:val="22"/>
        </w:rPr>
      </w:pPr>
    </w:p>
    <w:p w14:paraId="45D05713" w14:textId="77777777" w:rsidR="00496804" w:rsidRDefault="0037359D">
      <w:pPr>
        <w:pStyle w:val="Zaglavlje"/>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MINISTARSTVO PROSTORNOGA UREĐENJA, </w:t>
      </w:r>
    </w:p>
    <w:p w14:paraId="45D05714" w14:textId="77777777" w:rsidR="00496804" w:rsidRDefault="0037359D">
      <w:pPr>
        <w:pStyle w:val="Zaglavlje"/>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GRADITELJSTVA I DRŽAVNE IMOVINE</w:t>
      </w:r>
    </w:p>
    <w:p w14:paraId="45D05715" w14:textId="77777777" w:rsidR="00496804" w:rsidRDefault="0037359D">
      <w:pPr>
        <w:rPr>
          <w:rFonts w:ascii="Times New Roman" w:hAnsi="Times New Roman"/>
          <w:b/>
        </w:rPr>
      </w:pPr>
      <w:r>
        <w:rPr>
          <w:rFonts w:ascii="Times New Roman" w:hAnsi="Times New Roman"/>
          <w:b/>
          <w:noProof/>
          <w:lang w:eastAsia="hr-HR"/>
        </w:rPr>
        <mc:AlternateContent>
          <mc:Choice Requires="wps">
            <w:drawing>
              <wp:anchor distT="0" distB="0" distL="114300" distR="114300" simplePos="0" relativeHeight="251658242" behindDoc="0" locked="0" layoutInCell="1" allowOverlap="1" wp14:anchorId="45D061F3" wp14:editId="45D061F4">
                <wp:simplePos x="0" y="0"/>
                <wp:positionH relativeFrom="column">
                  <wp:posOffset>-635</wp:posOffset>
                </wp:positionH>
                <wp:positionV relativeFrom="paragraph">
                  <wp:posOffset>167005</wp:posOffset>
                </wp:positionV>
                <wp:extent cx="5817235" cy="0"/>
                <wp:effectExtent l="0" t="0" r="0" b="0"/>
                <wp:wrapNone/>
                <wp:docPr id="1" name="Ravni poveznik 1"/>
                <wp:cNvGraphicFramePr/>
                <a:graphic xmlns:a="http://schemas.openxmlformats.org/drawingml/2006/main">
                  <a:graphicData uri="http://schemas.microsoft.com/office/word/2010/wordprocessingShape">
                    <wps:wsp>
                      <wps:cNvCnPr/>
                      <wps:spPr>
                        <a:xfrm>
                          <a:off x="0" y="0"/>
                          <a:ext cx="58174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234B2" id="Ravni poveznik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5pt,13.15pt" to="4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" strokecolor="black [3213]" strokeweight="1pt">
                <v:stroke endcap="round"/>
              </v:line>
            </w:pict>
          </mc:Fallback>
        </mc:AlternateContent>
      </w:r>
    </w:p>
    <w:p w14:paraId="45D05716" w14:textId="77777777" w:rsidR="00496804" w:rsidRDefault="00496804">
      <w:pPr>
        <w:rPr>
          <w:rFonts w:ascii="Times New Roman" w:hAnsi="Times New Roman"/>
          <w:b/>
        </w:rPr>
      </w:pPr>
    </w:p>
    <w:p w14:paraId="45D05717" w14:textId="41CB6E98" w:rsidR="00496804" w:rsidRDefault="0037359D">
      <w:pPr>
        <w:spacing w:after="200"/>
        <w:jc w:val="center"/>
        <w:rPr>
          <w:rFonts w:ascii="Times New Roman" w:hAnsi="Times New Roman"/>
          <w:b/>
          <w:sz w:val="24"/>
        </w:rPr>
      </w:pPr>
      <w:r>
        <w:rPr>
          <w:rFonts w:ascii="Times New Roman" w:hAnsi="Times New Roman"/>
          <w:b/>
          <w:sz w:val="24"/>
        </w:rPr>
        <w:t xml:space="preserve">NACRT </w:t>
      </w:r>
      <w:r w:rsidR="0021063E">
        <w:rPr>
          <w:rFonts w:ascii="Times New Roman" w:hAnsi="Times New Roman"/>
          <w:b/>
          <w:sz w:val="24"/>
        </w:rPr>
        <w:t xml:space="preserve">KONAČNOG </w:t>
      </w:r>
      <w:r>
        <w:rPr>
          <w:rFonts w:ascii="Times New Roman" w:hAnsi="Times New Roman"/>
          <w:b/>
          <w:sz w:val="24"/>
        </w:rPr>
        <w:t>PRIJEDLOGA</w:t>
      </w:r>
    </w:p>
    <w:p w14:paraId="45D05718" w14:textId="77777777" w:rsidR="00496804" w:rsidRDefault="0037359D">
      <w:pPr>
        <w:jc w:val="center"/>
        <w:rPr>
          <w:rFonts w:ascii="Times New Roman" w:hAnsi="Times New Roman"/>
          <w:b/>
          <w:sz w:val="24"/>
        </w:rPr>
      </w:pPr>
      <w:r>
        <w:rPr>
          <w:rFonts w:ascii="Times New Roman" w:hAnsi="Times New Roman"/>
          <w:b/>
          <w:sz w:val="24"/>
        </w:rPr>
        <w:t>PROGRAMA RAZVOJA KRUŽNOG GOSPODARENJA PROSTOROM I ZGRADAMA</w:t>
      </w:r>
    </w:p>
    <w:p w14:paraId="45D05719" w14:textId="77777777" w:rsidR="00496804" w:rsidRDefault="0037359D">
      <w:pPr>
        <w:jc w:val="center"/>
        <w:rPr>
          <w:rFonts w:ascii="Times New Roman" w:hAnsi="Times New Roman"/>
          <w:b/>
          <w:sz w:val="24"/>
        </w:rPr>
      </w:pPr>
      <w:r>
        <w:rPr>
          <w:rFonts w:ascii="Times New Roman" w:hAnsi="Times New Roman"/>
          <w:b/>
          <w:sz w:val="24"/>
        </w:rPr>
        <w:t>ZA RAZDOBLJE 2021. DO 2030. GODINE</w:t>
      </w:r>
    </w:p>
    <w:p w14:paraId="45D0571A" w14:textId="77777777" w:rsidR="00496804" w:rsidRDefault="00496804">
      <w:pPr>
        <w:spacing w:after="160" w:line="259" w:lineRule="auto"/>
        <w:rPr>
          <w:rFonts w:ascii="Times New Roman" w:hAnsi="Times New Roman"/>
          <w:bCs/>
          <w:sz w:val="24"/>
        </w:rPr>
      </w:pPr>
    </w:p>
    <w:p w14:paraId="45D0571B" w14:textId="77777777" w:rsidR="00496804" w:rsidRDefault="00496804">
      <w:pPr>
        <w:spacing w:after="160" w:line="259" w:lineRule="auto"/>
        <w:rPr>
          <w:rFonts w:ascii="Times New Roman" w:hAnsi="Times New Roman"/>
          <w:bCs/>
          <w:sz w:val="24"/>
        </w:rPr>
      </w:pPr>
    </w:p>
    <w:p w14:paraId="45D0571C" w14:textId="77777777" w:rsidR="00496804" w:rsidRDefault="00496804">
      <w:pPr>
        <w:spacing w:after="160" w:line="259" w:lineRule="auto"/>
        <w:rPr>
          <w:rFonts w:ascii="Times New Roman" w:hAnsi="Times New Roman"/>
          <w:bCs/>
          <w:sz w:val="24"/>
        </w:rPr>
      </w:pPr>
    </w:p>
    <w:p w14:paraId="45D0571D" w14:textId="77777777" w:rsidR="00496804" w:rsidRDefault="00496804">
      <w:pPr>
        <w:spacing w:after="160" w:line="259" w:lineRule="auto"/>
        <w:rPr>
          <w:rFonts w:ascii="Times New Roman" w:hAnsi="Times New Roman"/>
          <w:bCs/>
          <w:sz w:val="24"/>
        </w:rPr>
      </w:pPr>
    </w:p>
    <w:p w14:paraId="45D0571E" w14:textId="77777777" w:rsidR="00496804" w:rsidRDefault="00496804">
      <w:pPr>
        <w:spacing w:after="160" w:line="259" w:lineRule="auto"/>
        <w:rPr>
          <w:rFonts w:ascii="Times New Roman" w:hAnsi="Times New Roman"/>
          <w:bCs/>
          <w:sz w:val="24"/>
        </w:rPr>
      </w:pPr>
    </w:p>
    <w:p w14:paraId="45D0571F" w14:textId="77777777" w:rsidR="00496804" w:rsidRDefault="00496804">
      <w:pPr>
        <w:spacing w:after="160" w:line="259" w:lineRule="auto"/>
        <w:rPr>
          <w:rFonts w:ascii="Times New Roman" w:hAnsi="Times New Roman"/>
          <w:bCs/>
          <w:sz w:val="24"/>
        </w:rPr>
      </w:pPr>
    </w:p>
    <w:p w14:paraId="45D05720" w14:textId="77777777" w:rsidR="00496804" w:rsidRDefault="00496804">
      <w:pPr>
        <w:spacing w:after="160" w:line="259" w:lineRule="auto"/>
        <w:rPr>
          <w:rFonts w:ascii="Times New Roman" w:hAnsi="Times New Roman"/>
          <w:bCs/>
          <w:sz w:val="24"/>
        </w:rPr>
      </w:pPr>
    </w:p>
    <w:p w14:paraId="45D05721" w14:textId="77777777" w:rsidR="00496804" w:rsidRDefault="00496804">
      <w:pPr>
        <w:spacing w:after="160" w:line="259" w:lineRule="auto"/>
        <w:rPr>
          <w:rFonts w:ascii="Times New Roman" w:hAnsi="Times New Roman"/>
          <w:bCs/>
          <w:sz w:val="24"/>
        </w:rPr>
      </w:pPr>
    </w:p>
    <w:p w14:paraId="45D05722" w14:textId="77777777" w:rsidR="00496804" w:rsidRDefault="00496804">
      <w:pPr>
        <w:spacing w:after="160" w:line="259" w:lineRule="auto"/>
        <w:rPr>
          <w:rFonts w:ascii="Times New Roman" w:hAnsi="Times New Roman"/>
          <w:bCs/>
          <w:sz w:val="24"/>
        </w:rPr>
      </w:pPr>
    </w:p>
    <w:p w14:paraId="45D05723" w14:textId="77777777" w:rsidR="00496804" w:rsidRDefault="00496804">
      <w:pPr>
        <w:spacing w:after="160" w:line="259" w:lineRule="auto"/>
        <w:rPr>
          <w:rFonts w:ascii="Times New Roman" w:hAnsi="Times New Roman"/>
          <w:bCs/>
          <w:sz w:val="24"/>
        </w:rPr>
      </w:pPr>
    </w:p>
    <w:p w14:paraId="45D05724" w14:textId="77777777" w:rsidR="00496804" w:rsidRDefault="00496804">
      <w:pPr>
        <w:spacing w:after="160" w:line="259" w:lineRule="auto"/>
        <w:rPr>
          <w:rFonts w:ascii="Times New Roman" w:hAnsi="Times New Roman"/>
          <w:b/>
          <w:sz w:val="24"/>
        </w:rPr>
      </w:pPr>
    </w:p>
    <w:p w14:paraId="45D05725" w14:textId="77777777" w:rsidR="00496804" w:rsidRDefault="00496804">
      <w:pPr>
        <w:spacing w:after="160" w:line="259" w:lineRule="auto"/>
        <w:rPr>
          <w:rFonts w:ascii="Times New Roman" w:hAnsi="Times New Roman"/>
          <w:b/>
          <w:sz w:val="24"/>
        </w:rPr>
      </w:pPr>
    </w:p>
    <w:p w14:paraId="45D05726" w14:textId="77777777" w:rsidR="00496804" w:rsidRDefault="00496804">
      <w:pPr>
        <w:spacing w:after="160" w:line="259" w:lineRule="auto"/>
        <w:rPr>
          <w:rFonts w:ascii="Times New Roman" w:hAnsi="Times New Roman"/>
          <w:b/>
          <w:sz w:val="24"/>
        </w:rPr>
      </w:pPr>
    </w:p>
    <w:p w14:paraId="45D05727" w14:textId="77777777" w:rsidR="00496804" w:rsidRDefault="00496804">
      <w:pPr>
        <w:spacing w:after="160" w:line="259" w:lineRule="auto"/>
        <w:rPr>
          <w:rFonts w:ascii="Times New Roman" w:hAnsi="Times New Roman"/>
          <w:b/>
          <w:sz w:val="24"/>
        </w:rPr>
      </w:pPr>
    </w:p>
    <w:p w14:paraId="45D05728" w14:textId="77777777" w:rsidR="00496804" w:rsidRDefault="00496804">
      <w:pPr>
        <w:spacing w:after="160" w:line="259" w:lineRule="auto"/>
        <w:rPr>
          <w:rFonts w:ascii="Times New Roman" w:hAnsi="Times New Roman"/>
          <w:b/>
          <w:sz w:val="24"/>
        </w:rPr>
      </w:pPr>
    </w:p>
    <w:p w14:paraId="45D05729" w14:textId="77777777" w:rsidR="00496804" w:rsidRDefault="00496804">
      <w:pPr>
        <w:spacing w:after="160" w:line="259" w:lineRule="auto"/>
        <w:rPr>
          <w:rFonts w:ascii="Times New Roman" w:hAnsi="Times New Roman"/>
          <w:b/>
          <w:sz w:val="24"/>
        </w:rPr>
      </w:pPr>
    </w:p>
    <w:p w14:paraId="45D0572A" w14:textId="72132168" w:rsidR="00496804" w:rsidRDefault="0037359D">
      <w:pPr>
        <w:spacing w:after="160" w:line="259" w:lineRule="auto"/>
        <w:jc w:val="center"/>
        <w:rPr>
          <w:rFonts w:ascii="Times New Roman" w:hAnsi="Times New Roman"/>
          <w:b/>
          <w:sz w:val="24"/>
        </w:rPr>
      </w:pPr>
      <w:r>
        <w:rPr>
          <w:rFonts w:ascii="Times New Roman" w:hAnsi="Times New Roman"/>
          <w:b/>
          <w:sz w:val="24"/>
        </w:rPr>
        <w:t xml:space="preserve">Zagreb, </w:t>
      </w:r>
      <w:r w:rsidR="00291DD4">
        <w:rPr>
          <w:rFonts w:ascii="Times New Roman" w:hAnsi="Times New Roman"/>
          <w:b/>
          <w:sz w:val="24"/>
        </w:rPr>
        <w:t>prosinac</w:t>
      </w:r>
      <w:r w:rsidR="00F804DA">
        <w:rPr>
          <w:rFonts w:ascii="Times New Roman" w:hAnsi="Times New Roman"/>
          <w:b/>
          <w:sz w:val="24"/>
        </w:rPr>
        <w:t xml:space="preserve"> </w:t>
      </w:r>
      <w:r>
        <w:rPr>
          <w:rFonts w:ascii="Times New Roman" w:hAnsi="Times New Roman"/>
          <w:b/>
          <w:sz w:val="24"/>
        </w:rPr>
        <w:t>2021.</w:t>
      </w:r>
    </w:p>
    <w:p w14:paraId="45D0572B" w14:textId="77777777" w:rsidR="00496804" w:rsidRDefault="00496804">
      <w:pPr>
        <w:spacing w:after="160" w:line="259" w:lineRule="auto"/>
        <w:rPr>
          <w:rFonts w:ascii="Times New Roman" w:hAnsi="Times New Roman"/>
          <w:sz w:val="24"/>
        </w:rPr>
        <w:sectPr w:rsidR="00496804">
          <w:headerReference w:type="default" r:id="rId14"/>
          <w:footerReference w:type="default" r:id="rId15"/>
          <w:footerReference w:type="first" r:id="rId16"/>
          <w:pgSz w:w="11900" w:h="16840"/>
          <w:pgMar w:top="1701" w:right="1134" w:bottom="1134" w:left="1134" w:header="709" w:footer="289" w:gutter="0"/>
          <w:pgNumType w:start="1"/>
          <w:cols w:space="720"/>
          <w:titlePg/>
          <w:docGrid w:linePitch="299"/>
        </w:sectPr>
      </w:pPr>
    </w:p>
    <w:sdt>
      <w:sdtPr>
        <w:rPr>
          <w:rFonts w:ascii="Times New Roman" w:eastAsia="Times New Roman" w:hAnsi="Times New Roman" w:cs="Times New Roman"/>
          <w:bCs w:val="0"/>
          <w:color w:val="auto"/>
          <w:sz w:val="22"/>
          <w:szCs w:val="22"/>
          <w:lang w:val="hr-HR" w:eastAsia="en-GB"/>
        </w:rPr>
        <w:id w:val="1387994869"/>
        <w:docPartObj>
          <w:docPartGallery w:val="Table of Contents"/>
          <w:docPartUnique/>
        </w:docPartObj>
      </w:sdtPr>
      <w:sdtEndPr>
        <w:rPr>
          <w:b/>
        </w:rPr>
      </w:sdtEndPr>
      <w:sdtContent>
        <w:p w14:paraId="45D0572C" w14:textId="77777777" w:rsidR="00496804" w:rsidRDefault="0037359D">
          <w:pPr>
            <w:pStyle w:val="TOCNaslov1"/>
            <w:numPr>
              <w:ilvl w:val="0"/>
              <w:numId w:val="0"/>
            </w:numPr>
            <w:spacing w:before="0" w:after="60" w:line="240" w:lineRule="auto"/>
            <w:ind w:right="276"/>
            <w:jc w:val="both"/>
            <w:rPr>
              <w:rFonts w:ascii="Times New Roman" w:hAnsi="Times New Roman" w:cs="Times New Roman"/>
              <w:b/>
              <w:bCs w:val="0"/>
              <w:color w:val="auto"/>
              <w:sz w:val="22"/>
              <w:szCs w:val="22"/>
              <w:lang w:val="hr-HR"/>
            </w:rPr>
          </w:pPr>
          <w:r>
            <w:rPr>
              <w:rFonts w:ascii="Times New Roman" w:hAnsi="Times New Roman" w:cs="Times New Roman"/>
              <w:b/>
              <w:bCs w:val="0"/>
              <w:color w:val="auto"/>
              <w:sz w:val="22"/>
              <w:szCs w:val="22"/>
              <w:lang w:val="hr-HR"/>
            </w:rPr>
            <w:t>SADRŽAJ</w:t>
          </w:r>
        </w:p>
        <w:p w14:paraId="45D0572D" w14:textId="7607AD79" w:rsidR="00496804" w:rsidRDefault="0037359D">
          <w:pPr>
            <w:pStyle w:val="Sadraj1"/>
            <w:tabs>
              <w:tab w:val="clear" w:pos="8789"/>
              <w:tab w:val="right" w:leader="dot" w:pos="9356"/>
            </w:tabs>
            <w:ind w:right="134"/>
            <w:rPr>
              <w:rFonts w:ascii="Times New Roman" w:hAnsi="Times New Roman" w:cs="Times New Roman"/>
              <w:b w:val="0"/>
              <w:sz w:val="22"/>
              <w:szCs w:val="22"/>
              <w:lang w:val="hr-HR" w:eastAsia="hr-HR"/>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TOC \o "1-3" \h \z \u </w:instrText>
          </w:r>
          <w:r>
            <w:rPr>
              <w:rFonts w:ascii="Times New Roman" w:hAnsi="Times New Roman" w:cs="Times New Roman"/>
              <w:sz w:val="22"/>
              <w:szCs w:val="22"/>
            </w:rPr>
            <w:fldChar w:fldCharType="separate"/>
          </w:r>
          <w:hyperlink w:anchor="_Toc51851618" w:history="1">
            <w:r>
              <w:rPr>
                <w:rStyle w:val="Hiperveza"/>
                <w:rFonts w:ascii="Times New Roman" w:hAnsi="Times New Roman" w:cs="Times New Roman"/>
                <w:szCs w:val="22"/>
              </w:rPr>
              <w:t>1.</w:t>
            </w:r>
            <w:r>
              <w:rPr>
                <w:rFonts w:ascii="Times New Roman" w:hAnsi="Times New Roman" w:cs="Times New Roman"/>
                <w:b w:val="0"/>
                <w:sz w:val="22"/>
                <w:szCs w:val="22"/>
                <w:lang w:val="hr-HR" w:eastAsia="hr-HR"/>
              </w:rPr>
              <w:tab/>
            </w:r>
            <w:r>
              <w:rPr>
                <w:rStyle w:val="Hiperveza"/>
                <w:rFonts w:ascii="Times New Roman" w:hAnsi="Times New Roman" w:cs="Times New Roman"/>
                <w:szCs w:val="22"/>
              </w:rPr>
              <w:t>UVOD</w:t>
            </w:r>
            <w:r>
              <w:rPr>
                <w:rFonts w:ascii="Times New Roman" w:hAnsi="Times New Roman" w:cs="Times New Roman"/>
                <w:sz w:val="22"/>
                <w:szCs w:val="22"/>
              </w:rPr>
              <w:tab/>
              <w:t>….</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_Toc51851618 \h </w:instrText>
            </w:r>
            <w:r>
              <w:rPr>
                <w:rFonts w:ascii="Times New Roman" w:hAnsi="Times New Roman" w:cs="Times New Roman"/>
                <w:sz w:val="22"/>
                <w:szCs w:val="22"/>
              </w:rPr>
            </w:r>
            <w:r>
              <w:rPr>
                <w:rFonts w:ascii="Times New Roman" w:hAnsi="Times New Roman" w:cs="Times New Roman"/>
                <w:sz w:val="22"/>
                <w:szCs w:val="22"/>
              </w:rPr>
              <w:fldChar w:fldCharType="separate"/>
            </w:r>
            <w:r w:rsidR="002D7DE9">
              <w:rPr>
                <w:rFonts w:ascii="Times New Roman" w:hAnsi="Times New Roman" w:cs="Times New Roman"/>
                <w:noProof/>
                <w:sz w:val="22"/>
                <w:szCs w:val="22"/>
              </w:rPr>
              <w:t>5</w:t>
            </w:r>
            <w:r>
              <w:rPr>
                <w:rFonts w:ascii="Times New Roman" w:hAnsi="Times New Roman" w:cs="Times New Roman"/>
                <w:sz w:val="22"/>
                <w:szCs w:val="22"/>
              </w:rPr>
              <w:fldChar w:fldCharType="end"/>
            </w:r>
          </w:hyperlink>
        </w:p>
        <w:p w14:paraId="45D0572E" w14:textId="7D22D1BD"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19" w:history="1">
            <w:r w:rsidR="0037359D">
              <w:rPr>
                <w:rStyle w:val="Hiperveza"/>
                <w:rFonts w:ascii="Times New Roman" w:hAnsi="Times New Roman" w:cs="Times New Roman"/>
                <w:szCs w:val="22"/>
              </w:rPr>
              <w:t>2.</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I METODOLOGIJA IZRADE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_Toc51851619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6</w:t>
            </w:r>
            <w:r w:rsidR="0037359D">
              <w:rPr>
                <w:rFonts w:ascii="Times New Roman" w:hAnsi="Times New Roman" w:cs="Times New Roman"/>
                <w:sz w:val="22"/>
                <w:szCs w:val="22"/>
              </w:rPr>
              <w:fldChar w:fldCharType="end"/>
            </w:r>
          </w:hyperlink>
        </w:p>
        <w:p w14:paraId="45D0572F" w14:textId="00F6DC7B" w:rsidR="00496804" w:rsidRDefault="004A10C1">
          <w:pPr>
            <w:pStyle w:val="Sadraj2"/>
            <w:ind w:right="134"/>
            <w:rPr>
              <w:rFonts w:ascii="Times New Roman" w:hAnsi="Times New Roman" w:cs="Times New Roman"/>
              <w:sz w:val="22"/>
              <w:szCs w:val="22"/>
              <w:lang w:val="hr-HR" w:eastAsia="hr-HR"/>
            </w:rPr>
          </w:pPr>
          <w:hyperlink w:anchor="_Toc51851620" w:history="1">
            <w:r w:rsidR="0037359D">
              <w:rPr>
                <w:rStyle w:val="Hiperveza"/>
                <w:rFonts w:ascii="Times New Roman" w:hAnsi="Times New Roman" w:cs="Times New Roman"/>
                <w:szCs w:val="22"/>
              </w:rPr>
              <w:t>2.1.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MEĐUNARODNI KONTEKST</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6</w:t>
            </w:r>
            <w:r w:rsidR="0037359D">
              <w:rPr>
                <w:rFonts w:ascii="Times New Roman" w:hAnsi="Times New Roman" w:cs="Times New Roman"/>
                <w:sz w:val="22"/>
                <w:szCs w:val="22"/>
              </w:rPr>
              <w:fldChar w:fldCharType="end"/>
            </w:r>
          </w:hyperlink>
        </w:p>
        <w:p w14:paraId="45D05730" w14:textId="381ACA2F" w:rsidR="00496804" w:rsidRDefault="004A10C1">
          <w:pPr>
            <w:pStyle w:val="Sadraj2"/>
            <w:ind w:right="134"/>
            <w:rPr>
              <w:rFonts w:ascii="Times New Roman" w:hAnsi="Times New Roman" w:cs="Times New Roman"/>
              <w:sz w:val="22"/>
              <w:szCs w:val="22"/>
              <w:lang w:val="hr-HR" w:eastAsia="hr-HR"/>
            </w:rPr>
          </w:pPr>
          <w:hyperlink w:anchor="_Toc51851621" w:history="1">
            <w:r w:rsidR="0037359D">
              <w:rPr>
                <w:rStyle w:val="Hiperveza"/>
                <w:rFonts w:ascii="Times New Roman" w:hAnsi="Times New Roman" w:cs="Times New Roman"/>
                <w:szCs w:val="22"/>
              </w:rPr>
              <w:t>2.2.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NACIONALNI ZAKONSKI KONTEKST</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10</w:t>
            </w:r>
            <w:r w:rsidR="0037359D">
              <w:rPr>
                <w:rFonts w:ascii="Times New Roman" w:hAnsi="Times New Roman" w:cs="Times New Roman"/>
                <w:sz w:val="22"/>
                <w:szCs w:val="22"/>
              </w:rPr>
              <w:fldChar w:fldCharType="end"/>
            </w:r>
          </w:hyperlink>
        </w:p>
        <w:p w14:paraId="45D05731" w14:textId="6EC70813" w:rsidR="00496804" w:rsidRDefault="004A10C1">
          <w:pPr>
            <w:pStyle w:val="Sadraj2"/>
            <w:ind w:right="134"/>
            <w:rPr>
              <w:rFonts w:ascii="Times New Roman" w:hAnsi="Times New Roman" w:cs="Times New Roman"/>
              <w:sz w:val="22"/>
              <w:szCs w:val="22"/>
              <w:lang w:val="hr-HR" w:eastAsia="hr-HR"/>
            </w:rPr>
          </w:pPr>
          <w:hyperlink w:anchor="_Toc51851622" w:history="1">
            <w:r w:rsidR="0037359D">
              <w:rPr>
                <w:rStyle w:val="Hiperveza"/>
                <w:rFonts w:ascii="Times New Roman" w:hAnsi="Times New Roman" w:cs="Times New Roman"/>
                <w:szCs w:val="22"/>
              </w:rPr>
              <w:t>2.3.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USKLAĐENOST PROGRAMA S NACRTOM NACIONALNE RAZVOJNE STRATEGIJE, SEKTORSKIM I VIŠESEKTORSKIM STRATEGIJAMA TE DOKUMENTIMA PROSTORNOG UREĐENJA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11</w:t>
            </w:r>
            <w:r w:rsidR="0037359D">
              <w:rPr>
                <w:rFonts w:ascii="Times New Roman" w:hAnsi="Times New Roman" w:cs="Times New Roman"/>
                <w:sz w:val="22"/>
                <w:szCs w:val="22"/>
              </w:rPr>
              <w:fldChar w:fldCharType="end"/>
            </w:r>
          </w:hyperlink>
        </w:p>
        <w:p w14:paraId="45D05732" w14:textId="2DA8F562" w:rsidR="00496804" w:rsidRDefault="004A10C1">
          <w:pPr>
            <w:pStyle w:val="Sadraj2"/>
            <w:ind w:right="134"/>
            <w:rPr>
              <w:rFonts w:ascii="Times New Roman" w:hAnsi="Times New Roman" w:cs="Times New Roman"/>
              <w:sz w:val="22"/>
              <w:szCs w:val="22"/>
              <w:lang w:val="hr-HR" w:eastAsia="hr-HR"/>
            </w:rPr>
          </w:pPr>
          <w:hyperlink w:anchor="_Toc51851623" w:history="1">
            <w:r w:rsidR="0037359D">
              <w:rPr>
                <w:rStyle w:val="Hiperveza"/>
                <w:rFonts w:ascii="Times New Roman" w:hAnsi="Times New Roman" w:cs="Times New Roman"/>
                <w:szCs w:val="22"/>
              </w:rPr>
              <w:t>2.4.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METODOLOGIJA IZRADE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13</w:t>
            </w:r>
            <w:r w:rsidR="0037359D">
              <w:rPr>
                <w:rFonts w:ascii="Times New Roman" w:hAnsi="Times New Roman" w:cs="Times New Roman"/>
                <w:sz w:val="22"/>
                <w:szCs w:val="22"/>
              </w:rPr>
              <w:fldChar w:fldCharType="end"/>
            </w:r>
          </w:hyperlink>
        </w:p>
        <w:p w14:paraId="45D05733" w14:textId="6B430B20"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24" w:history="1">
            <w:r w:rsidR="0037359D">
              <w:rPr>
                <w:rStyle w:val="Hiperveza"/>
                <w:rFonts w:ascii="Times New Roman" w:hAnsi="Times New Roman" w:cs="Times New Roman"/>
                <w:szCs w:val="22"/>
              </w:rPr>
              <w:t>3.</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TIPOLOGIJA I KORISTI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15</w:t>
            </w:r>
            <w:r w:rsidR="0037359D">
              <w:rPr>
                <w:rFonts w:ascii="Times New Roman" w:hAnsi="Times New Roman" w:cs="Times New Roman"/>
                <w:sz w:val="22"/>
                <w:szCs w:val="22"/>
              </w:rPr>
              <w:fldChar w:fldCharType="end"/>
            </w:r>
          </w:hyperlink>
        </w:p>
        <w:p w14:paraId="45D05734" w14:textId="005CDAA2" w:rsidR="00496804" w:rsidRDefault="004A10C1">
          <w:pPr>
            <w:pStyle w:val="Sadraj2"/>
            <w:ind w:right="134"/>
            <w:rPr>
              <w:rFonts w:ascii="Times New Roman" w:hAnsi="Times New Roman" w:cs="Times New Roman"/>
              <w:sz w:val="22"/>
              <w:szCs w:val="22"/>
              <w:lang w:val="hr-HR" w:eastAsia="hr-HR"/>
            </w:rPr>
          </w:pPr>
          <w:hyperlink w:anchor="_Toc51851625" w:history="1">
            <w:r w:rsidR="0037359D">
              <w:rPr>
                <w:rStyle w:val="Hiperveza"/>
                <w:rFonts w:ascii="Times New Roman" w:hAnsi="Times New Roman" w:cs="Times New Roman"/>
                <w:szCs w:val="22"/>
              </w:rPr>
              <w:t>3.1.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TIPOLOGIJA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15</w:t>
            </w:r>
            <w:r w:rsidR="0037359D">
              <w:rPr>
                <w:rFonts w:ascii="Times New Roman" w:hAnsi="Times New Roman" w:cs="Times New Roman"/>
                <w:sz w:val="22"/>
                <w:szCs w:val="22"/>
              </w:rPr>
              <w:fldChar w:fldCharType="end"/>
            </w:r>
          </w:hyperlink>
        </w:p>
        <w:p w14:paraId="45D05735" w14:textId="6E301EB3" w:rsidR="00496804" w:rsidRDefault="004A10C1">
          <w:pPr>
            <w:pStyle w:val="Sadraj2"/>
            <w:ind w:right="134"/>
            <w:rPr>
              <w:rFonts w:ascii="Times New Roman" w:hAnsi="Times New Roman" w:cs="Times New Roman"/>
              <w:sz w:val="22"/>
              <w:szCs w:val="22"/>
              <w:lang w:val="hr-HR" w:eastAsia="hr-HR"/>
            </w:rPr>
          </w:pPr>
          <w:hyperlink w:anchor="_Toc51851626" w:history="1">
            <w:r w:rsidR="0037359D">
              <w:rPr>
                <w:rStyle w:val="Hiperveza"/>
                <w:rFonts w:ascii="Times New Roman" w:hAnsi="Times New Roman" w:cs="Times New Roman"/>
                <w:szCs w:val="22"/>
              </w:rPr>
              <w:t>3.1.1.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PLANIRANJE I GRADNJA NOVIH ZGRADA U SKLADU S KRUŽNIM GOSPODARSTVOM</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17</w:t>
            </w:r>
            <w:r w:rsidR="0037359D">
              <w:rPr>
                <w:rFonts w:ascii="Times New Roman" w:hAnsi="Times New Roman" w:cs="Times New Roman"/>
                <w:sz w:val="22"/>
                <w:szCs w:val="22"/>
              </w:rPr>
              <w:fldChar w:fldCharType="end"/>
            </w:r>
          </w:hyperlink>
        </w:p>
        <w:p w14:paraId="45D05736" w14:textId="4A42DCFA" w:rsidR="00496804" w:rsidRDefault="004A10C1">
          <w:pPr>
            <w:pStyle w:val="Sadraj2"/>
            <w:ind w:right="134"/>
            <w:rPr>
              <w:rFonts w:ascii="Times New Roman" w:hAnsi="Times New Roman" w:cs="Times New Roman"/>
              <w:sz w:val="22"/>
              <w:szCs w:val="22"/>
              <w:lang w:val="hr-HR" w:eastAsia="hr-HR"/>
            </w:rPr>
          </w:pPr>
          <w:hyperlink w:anchor="_Toc51851627" w:history="1">
            <w:r w:rsidR="0037359D">
              <w:rPr>
                <w:rStyle w:val="Hiperveza"/>
                <w:rFonts w:ascii="Times New Roman" w:hAnsi="Times New Roman" w:cs="Times New Roman"/>
                <w:szCs w:val="22"/>
              </w:rPr>
              <w:t>3.1.2.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REVITALIZACIJA I OBNOVA NEKORIŠTENIH PROSTORA I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19</w:t>
            </w:r>
            <w:r w:rsidR="0037359D">
              <w:rPr>
                <w:rFonts w:ascii="Times New Roman" w:hAnsi="Times New Roman" w:cs="Times New Roman"/>
                <w:sz w:val="22"/>
                <w:szCs w:val="22"/>
              </w:rPr>
              <w:fldChar w:fldCharType="end"/>
            </w:r>
          </w:hyperlink>
        </w:p>
        <w:p w14:paraId="45D05737" w14:textId="40F62B10" w:rsidR="00496804" w:rsidRDefault="004A10C1">
          <w:pPr>
            <w:pStyle w:val="Sadraj2"/>
            <w:ind w:right="134"/>
            <w:rPr>
              <w:rFonts w:ascii="Times New Roman" w:hAnsi="Times New Roman" w:cs="Times New Roman"/>
              <w:sz w:val="22"/>
              <w:szCs w:val="22"/>
              <w:lang w:val="hr-HR" w:eastAsia="hr-HR"/>
            </w:rPr>
          </w:pPr>
          <w:hyperlink w:anchor="_Toc51851628" w:history="1">
            <w:r w:rsidR="0037359D">
              <w:rPr>
                <w:rStyle w:val="Hiperveza"/>
                <w:rFonts w:ascii="Times New Roman" w:hAnsi="Times New Roman" w:cs="Times New Roman"/>
                <w:szCs w:val="22"/>
              </w:rPr>
              <w:t>3.1.3.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KRUŽNA OBNOVA I REPROGRAMIRANJE KORIŠTENIH PROSTORA I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21</w:t>
            </w:r>
            <w:r w:rsidR="0037359D">
              <w:rPr>
                <w:rFonts w:ascii="Times New Roman" w:hAnsi="Times New Roman" w:cs="Times New Roman"/>
                <w:sz w:val="22"/>
                <w:szCs w:val="22"/>
              </w:rPr>
              <w:fldChar w:fldCharType="end"/>
            </w:r>
          </w:hyperlink>
        </w:p>
        <w:p w14:paraId="45D05738" w14:textId="04A69127" w:rsidR="00496804" w:rsidRDefault="004A10C1">
          <w:pPr>
            <w:pStyle w:val="Sadraj2"/>
            <w:ind w:right="134"/>
            <w:rPr>
              <w:rFonts w:ascii="Times New Roman" w:hAnsi="Times New Roman" w:cs="Times New Roman"/>
              <w:sz w:val="22"/>
              <w:szCs w:val="22"/>
              <w:lang w:val="hr-HR" w:eastAsia="hr-HR"/>
            </w:rPr>
          </w:pPr>
          <w:hyperlink w:anchor="_Toc51851629" w:history="1">
            <w:r w:rsidR="0037359D">
              <w:rPr>
                <w:rStyle w:val="Hiperveza"/>
                <w:rFonts w:ascii="Times New Roman" w:hAnsi="Times New Roman" w:cs="Times New Roman"/>
                <w:szCs w:val="22"/>
              </w:rPr>
              <w:t>3.2.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KORISTI ZA RAZVOJ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22</w:t>
            </w:r>
            <w:r w:rsidR="0037359D">
              <w:rPr>
                <w:rFonts w:ascii="Times New Roman" w:hAnsi="Times New Roman" w:cs="Times New Roman"/>
                <w:sz w:val="22"/>
                <w:szCs w:val="22"/>
              </w:rPr>
              <w:fldChar w:fldCharType="end"/>
            </w:r>
          </w:hyperlink>
        </w:p>
        <w:p w14:paraId="45D05739" w14:textId="7F78ADB2" w:rsidR="00496804" w:rsidRDefault="004A10C1">
          <w:pPr>
            <w:pStyle w:val="Sadraj2"/>
            <w:ind w:right="134"/>
            <w:rPr>
              <w:rFonts w:ascii="Times New Roman" w:hAnsi="Times New Roman" w:cs="Times New Roman"/>
              <w:sz w:val="22"/>
              <w:szCs w:val="22"/>
              <w:lang w:val="hr-HR" w:eastAsia="hr-HR"/>
            </w:rPr>
          </w:pPr>
          <w:hyperlink w:anchor="_Toc51851630" w:history="1">
            <w:r w:rsidR="0037359D">
              <w:rPr>
                <w:rStyle w:val="Hiperveza"/>
                <w:rFonts w:ascii="Times New Roman" w:hAnsi="Times New Roman" w:cs="Times New Roman"/>
                <w:szCs w:val="22"/>
              </w:rPr>
              <w:t>3.3.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LEVEL(s)</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24</w:t>
            </w:r>
            <w:r w:rsidR="0037359D">
              <w:rPr>
                <w:rFonts w:ascii="Times New Roman" w:hAnsi="Times New Roman" w:cs="Times New Roman"/>
                <w:sz w:val="22"/>
                <w:szCs w:val="22"/>
              </w:rPr>
              <w:fldChar w:fldCharType="end"/>
            </w:r>
          </w:hyperlink>
        </w:p>
        <w:p w14:paraId="45D0573A" w14:textId="1EB4CF16"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31" w:history="1">
            <w:r w:rsidR="0037359D">
              <w:rPr>
                <w:rStyle w:val="Hiperveza"/>
                <w:rFonts w:ascii="Times New Roman" w:hAnsi="Times New Roman" w:cs="Times New Roman"/>
                <w:szCs w:val="22"/>
              </w:rPr>
              <w:t>4.</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PREGLED STANJA U PROSTORU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25</w:t>
            </w:r>
            <w:r w:rsidR="0037359D">
              <w:rPr>
                <w:rFonts w:ascii="Times New Roman" w:hAnsi="Times New Roman" w:cs="Times New Roman"/>
                <w:sz w:val="22"/>
                <w:szCs w:val="22"/>
              </w:rPr>
              <w:fldChar w:fldCharType="end"/>
            </w:r>
          </w:hyperlink>
        </w:p>
        <w:p w14:paraId="45D0573B" w14:textId="596C98F2" w:rsidR="00496804" w:rsidRDefault="004A10C1">
          <w:pPr>
            <w:pStyle w:val="Sadraj2"/>
            <w:ind w:right="134"/>
            <w:rPr>
              <w:rFonts w:ascii="Times New Roman" w:hAnsi="Times New Roman" w:cs="Times New Roman"/>
              <w:sz w:val="22"/>
              <w:szCs w:val="22"/>
              <w:lang w:val="hr-HR" w:eastAsia="hr-HR"/>
            </w:rPr>
          </w:pPr>
          <w:hyperlink w:anchor="_Toc51851632" w:history="1">
            <w:r w:rsidR="0037359D">
              <w:rPr>
                <w:rStyle w:val="Hiperveza"/>
                <w:rFonts w:ascii="Times New Roman" w:hAnsi="Times New Roman" w:cs="Times New Roman"/>
                <w:szCs w:val="22"/>
              </w:rPr>
              <w:t>4.1.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NACIONALNOG FONDA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27</w:t>
            </w:r>
            <w:r w:rsidR="0037359D">
              <w:rPr>
                <w:rFonts w:ascii="Times New Roman" w:hAnsi="Times New Roman" w:cs="Times New Roman"/>
                <w:sz w:val="22"/>
                <w:szCs w:val="22"/>
              </w:rPr>
              <w:fldChar w:fldCharType="end"/>
            </w:r>
          </w:hyperlink>
        </w:p>
        <w:p w14:paraId="45D0573C" w14:textId="1300E550" w:rsidR="00496804" w:rsidRDefault="004A10C1">
          <w:pPr>
            <w:pStyle w:val="Sadraj2"/>
            <w:ind w:right="134"/>
            <w:rPr>
              <w:rFonts w:ascii="Times New Roman" w:hAnsi="Times New Roman" w:cs="Times New Roman"/>
              <w:sz w:val="22"/>
              <w:szCs w:val="22"/>
              <w:lang w:val="hr-HR" w:eastAsia="hr-HR"/>
            </w:rPr>
          </w:pPr>
          <w:hyperlink w:anchor="_Toc51851633" w:history="1">
            <w:r w:rsidR="0037359D">
              <w:rPr>
                <w:rStyle w:val="Hiperveza"/>
                <w:rFonts w:ascii="Times New Roman" w:hAnsi="Times New Roman" w:cs="Times New Roman"/>
                <w:szCs w:val="22"/>
              </w:rPr>
              <w:t>4.2.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PRITISCI NA IZGRAĐENI OKOLIŠ</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31</w:t>
            </w:r>
            <w:r w:rsidR="0037359D">
              <w:rPr>
                <w:rFonts w:ascii="Times New Roman" w:hAnsi="Times New Roman" w:cs="Times New Roman"/>
                <w:sz w:val="22"/>
                <w:szCs w:val="22"/>
              </w:rPr>
              <w:fldChar w:fldCharType="end"/>
            </w:r>
          </w:hyperlink>
        </w:p>
        <w:p w14:paraId="45D0573D" w14:textId="0BFE6851" w:rsidR="00496804" w:rsidRDefault="004A10C1">
          <w:pPr>
            <w:pStyle w:val="Sadraj2"/>
            <w:ind w:right="134"/>
            <w:rPr>
              <w:rFonts w:ascii="Times New Roman" w:hAnsi="Times New Roman" w:cs="Times New Roman"/>
              <w:sz w:val="22"/>
              <w:szCs w:val="22"/>
              <w:lang w:val="hr-HR" w:eastAsia="hr-HR"/>
            </w:rPr>
          </w:pPr>
          <w:hyperlink w:anchor="_Toc51851634" w:history="1">
            <w:r w:rsidR="0037359D">
              <w:rPr>
                <w:rStyle w:val="Hiperveza"/>
                <w:rFonts w:ascii="Times New Roman" w:hAnsi="Times New Roman" w:cs="Times New Roman"/>
                <w:szCs w:val="22"/>
              </w:rPr>
              <w:t>4.2.1.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POTRES</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32</w:t>
            </w:r>
            <w:r w:rsidR="0037359D">
              <w:rPr>
                <w:rFonts w:ascii="Times New Roman" w:hAnsi="Times New Roman" w:cs="Times New Roman"/>
                <w:sz w:val="22"/>
                <w:szCs w:val="22"/>
              </w:rPr>
              <w:fldChar w:fldCharType="end"/>
            </w:r>
          </w:hyperlink>
        </w:p>
        <w:p w14:paraId="45D0573E" w14:textId="7BA8913F" w:rsidR="00496804" w:rsidRDefault="004A10C1">
          <w:pPr>
            <w:pStyle w:val="Sadraj2"/>
            <w:ind w:right="134"/>
            <w:rPr>
              <w:rFonts w:ascii="Times New Roman" w:hAnsi="Times New Roman" w:cs="Times New Roman"/>
              <w:sz w:val="22"/>
              <w:szCs w:val="22"/>
              <w:lang w:val="hr-HR" w:eastAsia="hr-HR"/>
            </w:rPr>
          </w:pPr>
          <w:hyperlink w:anchor="_Toc51851635" w:history="1">
            <w:r w:rsidR="0037359D">
              <w:rPr>
                <w:rStyle w:val="Hiperveza"/>
                <w:rFonts w:ascii="Times New Roman" w:hAnsi="Times New Roman" w:cs="Times New Roman"/>
                <w:szCs w:val="22"/>
              </w:rPr>
              <w:t>4.2.2.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POŽAR</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33</w:t>
            </w:r>
            <w:r w:rsidR="0037359D">
              <w:rPr>
                <w:rFonts w:ascii="Times New Roman" w:hAnsi="Times New Roman" w:cs="Times New Roman"/>
                <w:sz w:val="22"/>
                <w:szCs w:val="22"/>
              </w:rPr>
              <w:fldChar w:fldCharType="end"/>
            </w:r>
          </w:hyperlink>
        </w:p>
        <w:p w14:paraId="45D0573F" w14:textId="7F41D73C" w:rsidR="00496804" w:rsidRDefault="004A10C1">
          <w:pPr>
            <w:pStyle w:val="Sadraj2"/>
            <w:ind w:right="134"/>
            <w:rPr>
              <w:rFonts w:ascii="Times New Roman" w:hAnsi="Times New Roman" w:cs="Times New Roman"/>
              <w:sz w:val="22"/>
              <w:szCs w:val="22"/>
              <w:lang w:val="hr-HR" w:eastAsia="hr-HR"/>
            </w:rPr>
          </w:pPr>
          <w:hyperlink w:anchor="_Toc51851636" w:history="1">
            <w:r w:rsidR="0037359D">
              <w:rPr>
                <w:rStyle w:val="Hiperveza"/>
                <w:rFonts w:ascii="Times New Roman" w:hAnsi="Times New Roman" w:cs="Times New Roman"/>
                <w:szCs w:val="22"/>
              </w:rPr>
              <w:t>4.2.3.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POPLAVE USLIJED IZLIJEVANJA KOPNENIH VODENIH TIJELA I PODIZANJA RAZINE MORA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34</w:t>
            </w:r>
            <w:r w:rsidR="0037359D">
              <w:rPr>
                <w:rFonts w:ascii="Times New Roman" w:hAnsi="Times New Roman" w:cs="Times New Roman"/>
                <w:sz w:val="22"/>
                <w:szCs w:val="22"/>
              </w:rPr>
              <w:fldChar w:fldCharType="end"/>
            </w:r>
          </w:hyperlink>
        </w:p>
        <w:p w14:paraId="45D05740" w14:textId="2652F981" w:rsidR="00496804" w:rsidRDefault="004A10C1">
          <w:pPr>
            <w:pStyle w:val="Sadraj2"/>
            <w:ind w:right="134"/>
            <w:rPr>
              <w:rFonts w:ascii="Times New Roman" w:hAnsi="Times New Roman" w:cs="Times New Roman"/>
              <w:sz w:val="22"/>
              <w:szCs w:val="22"/>
              <w:lang w:val="hr-HR" w:eastAsia="hr-HR"/>
            </w:rPr>
          </w:pPr>
          <w:hyperlink w:anchor="_Toc51851637" w:history="1">
            <w:r w:rsidR="0037359D">
              <w:rPr>
                <w:rStyle w:val="Hiperveza"/>
                <w:rFonts w:ascii="Times New Roman" w:hAnsi="Times New Roman" w:cs="Times New Roman"/>
                <w:szCs w:val="22"/>
              </w:rPr>
              <w:t>4.3.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GRAĐEVNI OTPAD</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34</w:t>
            </w:r>
            <w:r w:rsidR="0037359D">
              <w:rPr>
                <w:rFonts w:ascii="Times New Roman" w:hAnsi="Times New Roman" w:cs="Times New Roman"/>
                <w:sz w:val="22"/>
                <w:szCs w:val="22"/>
              </w:rPr>
              <w:fldChar w:fldCharType="end"/>
            </w:r>
          </w:hyperlink>
        </w:p>
        <w:p w14:paraId="45D05741" w14:textId="588DD144" w:rsidR="00496804" w:rsidRDefault="004A10C1">
          <w:pPr>
            <w:pStyle w:val="Sadraj2"/>
            <w:ind w:right="134"/>
            <w:rPr>
              <w:rFonts w:ascii="Times New Roman" w:hAnsi="Times New Roman" w:cs="Times New Roman"/>
              <w:sz w:val="22"/>
              <w:szCs w:val="22"/>
              <w:lang w:val="hr-HR" w:eastAsia="hr-HR"/>
            </w:rPr>
          </w:pPr>
          <w:hyperlink w:anchor="_Toc51851638" w:history="1">
            <w:r w:rsidR="0037359D">
              <w:rPr>
                <w:rStyle w:val="Hiperveza"/>
                <w:rFonts w:ascii="Times New Roman" w:hAnsi="Times New Roman" w:cs="Times New Roman"/>
                <w:szCs w:val="22"/>
              </w:rPr>
              <w:t>4.4.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STANJA NA REGIONALNOJ I LOKALNOJ RAZINI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39</w:t>
            </w:r>
            <w:r w:rsidR="0037359D">
              <w:rPr>
                <w:rFonts w:ascii="Times New Roman" w:hAnsi="Times New Roman" w:cs="Times New Roman"/>
                <w:sz w:val="22"/>
                <w:szCs w:val="22"/>
              </w:rPr>
              <w:fldChar w:fldCharType="end"/>
            </w:r>
          </w:hyperlink>
        </w:p>
        <w:p w14:paraId="45D05742" w14:textId="08C4B41C" w:rsidR="00496804" w:rsidRDefault="004A10C1">
          <w:pPr>
            <w:pStyle w:val="Sadraj3"/>
            <w:tabs>
              <w:tab w:val="right" w:leader="dot" w:pos="9356"/>
            </w:tabs>
            <w:ind w:left="851" w:right="134"/>
            <w:rPr>
              <w:rFonts w:ascii="Times New Roman" w:hAnsi="Times New Roman" w:cs="Times New Roman"/>
              <w:szCs w:val="22"/>
              <w:lang w:val="hr-HR" w:eastAsia="hr-HR"/>
            </w:rPr>
          </w:pPr>
          <w:hyperlink w:anchor="_Toc51851639" w:history="1">
            <w:r w:rsidR="0037359D">
              <w:rPr>
                <w:rStyle w:val="Hiperveza"/>
                <w:rFonts w:ascii="Times New Roman" w:eastAsia="Times New Roman" w:hAnsi="Times New Roman" w:cs="Times New Roman"/>
                <w:szCs w:val="22"/>
                <w:lang w:eastAsia="en-GB"/>
              </w:rPr>
              <w:t>Anketno istraživanje</w:t>
            </w:r>
            <w:r w:rsidR="0037359D">
              <w:rPr>
                <w:rFonts w:ascii="Times New Roman" w:hAnsi="Times New Roman" w:cs="Times New Roman"/>
                <w:szCs w:val="22"/>
              </w:rPr>
              <w:tab/>
            </w:r>
            <w:r w:rsidR="0037359D">
              <w:rPr>
                <w:rFonts w:ascii="Times New Roman" w:hAnsi="Times New Roman" w:cs="Times New Roman"/>
                <w:szCs w:val="22"/>
              </w:rPr>
              <w:fldChar w:fldCharType="begin"/>
            </w:r>
            <w:r w:rsidR="0037359D">
              <w:rPr>
                <w:rFonts w:ascii="Times New Roman" w:hAnsi="Times New Roman" w:cs="Times New Roman"/>
                <w:szCs w:val="22"/>
              </w:rPr>
              <w:instrText xml:space="preserve"> PAGEREF _Toc51851639 \h </w:instrText>
            </w:r>
            <w:r w:rsidR="0037359D">
              <w:rPr>
                <w:rFonts w:ascii="Times New Roman" w:hAnsi="Times New Roman" w:cs="Times New Roman"/>
                <w:szCs w:val="22"/>
              </w:rPr>
            </w:r>
            <w:r w:rsidR="0037359D">
              <w:rPr>
                <w:rFonts w:ascii="Times New Roman" w:hAnsi="Times New Roman" w:cs="Times New Roman"/>
                <w:szCs w:val="22"/>
              </w:rPr>
              <w:fldChar w:fldCharType="separate"/>
            </w:r>
            <w:r w:rsidR="002D7DE9">
              <w:rPr>
                <w:rFonts w:ascii="Times New Roman" w:hAnsi="Times New Roman" w:cs="Times New Roman"/>
                <w:noProof/>
                <w:szCs w:val="22"/>
              </w:rPr>
              <w:t>39</w:t>
            </w:r>
            <w:r w:rsidR="0037359D">
              <w:rPr>
                <w:rFonts w:ascii="Times New Roman" w:hAnsi="Times New Roman" w:cs="Times New Roman"/>
                <w:szCs w:val="22"/>
              </w:rPr>
              <w:fldChar w:fldCharType="end"/>
            </w:r>
          </w:hyperlink>
        </w:p>
        <w:p w14:paraId="45D05743" w14:textId="5A684DCB" w:rsidR="00496804" w:rsidRDefault="004A10C1">
          <w:pPr>
            <w:pStyle w:val="Sadraj3"/>
            <w:tabs>
              <w:tab w:val="right" w:leader="dot" w:pos="9356"/>
            </w:tabs>
            <w:ind w:left="851" w:right="134"/>
            <w:rPr>
              <w:rFonts w:ascii="Times New Roman" w:hAnsi="Times New Roman" w:cs="Times New Roman"/>
              <w:szCs w:val="22"/>
              <w:lang w:val="hr-HR" w:eastAsia="hr-HR"/>
            </w:rPr>
          </w:pPr>
          <w:hyperlink w:anchor="_Toc51851640" w:history="1">
            <w:r w:rsidR="0037359D">
              <w:rPr>
                <w:rStyle w:val="Hiperveza"/>
                <w:rFonts w:ascii="Times New Roman" w:eastAsia="Times New Roman" w:hAnsi="Times New Roman" w:cs="Times New Roman"/>
                <w:szCs w:val="22"/>
                <w:lang w:eastAsia="en-GB"/>
              </w:rPr>
              <w:t>Interdisciplinarna radionica</w:t>
            </w:r>
            <w:r w:rsidR="0037359D">
              <w:rPr>
                <w:rFonts w:ascii="Times New Roman" w:hAnsi="Times New Roman" w:cs="Times New Roman"/>
                <w:szCs w:val="22"/>
              </w:rPr>
              <w:tab/>
            </w:r>
            <w:r w:rsidR="0037359D">
              <w:rPr>
                <w:rFonts w:ascii="Times New Roman" w:hAnsi="Times New Roman" w:cs="Times New Roman"/>
                <w:szCs w:val="22"/>
              </w:rPr>
              <w:fldChar w:fldCharType="begin"/>
            </w:r>
            <w:r w:rsidR="0037359D">
              <w:rPr>
                <w:rFonts w:ascii="Times New Roman" w:hAnsi="Times New Roman" w:cs="Times New Roman"/>
                <w:szCs w:val="22"/>
              </w:rPr>
              <w:instrText xml:space="preserve"> PAGEREF _Toc51851640 \h </w:instrText>
            </w:r>
            <w:r w:rsidR="0037359D">
              <w:rPr>
                <w:rFonts w:ascii="Times New Roman" w:hAnsi="Times New Roman" w:cs="Times New Roman"/>
                <w:szCs w:val="22"/>
              </w:rPr>
            </w:r>
            <w:r w:rsidR="0037359D">
              <w:rPr>
                <w:rFonts w:ascii="Times New Roman" w:hAnsi="Times New Roman" w:cs="Times New Roman"/>
                <w:szCs w:val="22"/>
              </w:rPr>
              <w:fldChar w:fldCharType="separate"/>
            </w:r>
            <w:r w:rsidR="002D7DE9">
              <w:rPr>
                <w:rFonts w:ascii="Times New Roman" w:hAnsi="Times New Roman" w:cs="Times New Roman"/>
                <w:noProof/>
                <w:szCs w:val="22"/>
              </w:rPr>
              <w:t>41</w:t>
            </w:r>
            <w:r w:rsidR="0037359D">
              <w:rPr>
                <w:rFonts w:ascii="Times New Roman" w:hAnsi="Times New Roman" w:cs="Times New Roman"/>
                <w:szCs w:val="22"/>
              </w:rPr>
              <w:fldChar w:fldCharType="end"/>
            </w:r>
          </w:hyperlink>
        </w:p>
        <w:p w14:paraId="45D05744" w14:textId="57ED7A1C" w:rsidR="00496804" w:rsidRDefault="004A10C1">
          <w:pPr>
            <w:pStyle w:val="Sadraj2"/>
            <w:ind w:right="134"/>
            <w:rPr>
              <w:rFonts w:ascii="Times New Roman" w:hAnsi="Times New Roman" w:cs="Times New Roman"/>
              <w:sz w:val="22"/>
              <w:szCs w:val="22"/>
              <w:lang w:val="hr-HR" w:eastAsia="hr-HR"/>
            </w:rPr>
          </w:pPr>
          <w:hyperlink w:anchor="_Toc51851641" w:history="1">
            <w:r w:rsidR="0037359D">
              <w:rPr>
                <w:rStyle w:val="Hiperveza"/>
                <w:rFonts w:ascii="Times New Roman" w:hAnsi="Times New Roman" w:cs="Times New Roman"/>
                <w:szCs w:val="22"/>
              </w:rPr>
              <w:t>4.5.</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ELEMENATA DRŽAVNIH POTPORA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42</w:t>
            </w:r>
            <w:r w:rsidR="0037359D">
              <w:rPr>
                <w:rFonts w:ascii="Times New Roman" w:hAnsi="Times New Roman" w:cs="Times New Roman"/>
                <w:sz w:val="22"/>
                <w:szCs w:val="22"/>
              </w:rPr>
              <w:fldChar w:fldCharType="end"/>
            </w:r>
          </w:hyperlink>
        </w:p>
        <w:p w14:paraId="45D05745" w14:textId="5A98EA3E" w:rsidR="00496804" w:rsidRDefault="004A10C1">
          <w:pPr>
            <w:pStyle w:val="Sadraj2"/>
            <w:ind w:right="134"/>
            <w:rPr>
              <w:rFonts w:ascii="Times New Roman" w:hAnsi="Times New Roman" w:cs="Times New Roman"/>
              <w:sz w:val="22"/>
              <w:szCs w:val="22"/>
              <w:lang w:val="hr-HR" w:eastAsia="hr-HR"/>
            </w:rPr>
          </w:pPr>
          <w:hyperlink w:anchor="_Toc51851642" w:history="1">
            <w:r w:rsidR="0037359D">
              <w:rPr>
                <w:rStyle w:val="Hiperveza"/>
                <w:rFonts w:ascii="Times New Roman" w:hAnsi="Times New Roman" w:cs="Times New Roman"/>
                <w:szCs w:val="22"/>
              </w:rPr>
              <w:t>4.6.</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KRUŽNO GOSPODARENJE PROSTOROM I ZGRADAMA U EU – PRIMJERI DOBRE PRAKSE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45</w:t>
            </w:r>
            <w:r w:rsidR="0037359D">
              <w:rPr>
                <w:rFonts w:ascii="Times New Roman" w:hAnsi="Times New Roman" w:cs="Times New Roman"/>
                <w:sz w:val="22"/>
                <w:szCs w:val="22"/>
              </w:rPr>
              <w:fldChar w:fldCharType="end"/>
            </w:r>
          </w:hyperlink>
        </w:p>
        <w:p w14:paraId="45D05746" w14:textId="5B85AA78"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3" w:history="1">
            <w:r w:rsidR="0037359D">
              <w:rPr>
                <w:rStyle w:val="Hiperveza"/>
                <w:rFonts w:ascii="Times New Roman" w:hAnsi="Times New Roman" w:cs="Times New Roman"/>
                <w:szCs w:val="22"/>
              </w:rPr>
              <w:t>5.</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OPIS SREDNJOROČNIH RAZVOJNIH POTREBA I RAZVOJNIH POTENCIJALA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49</w:t>
            </w:r>
            <w:r w:rsidR="0037359D">
              <w:rPr>
                <w:rFonts w:ascii="Times New Roman" w:hAnsi="Times New Roman" w:cs="Times New Roman"/>
                <w:sz w:val="22"/>
                <w:szCs w:val="22"/>
              </w:rPr>
              <w:fldChar w:fldCharType="end"/>
            </w:r>
          </w:hyperlink>
        </w:p>
        <w:p w14:paraId="45D05747" w14:textId="6AEA3D68" w:rsidR="00496804" w:rsidRDefault="004A10C1">
          <w:pPr>
            <w:pStyle w:val="Sadraj2"/>
            <w:ind w:right="134"/>
            <w:rPr>
              <w:rFonts w:ascii="Times New Roman" w:hAnsi="Times New Roman" w:cs="Times New Roman"/>
              <w:sz w:val="22"/>
              <w:szCs w:val="22"/>
              <w:lang w:val="hr-HR" w:eastAsia="hr-HR"/>
            </w:rPr>
          </w:pPr>
          <w:hyperlink w:anchor="_Toc51851644" w:history="1">
            <w:r w:rsidR="0037359D">
              <w:rPr>
                <w:rStyle w:val="Hiperveza"/>
                <w:rFonts w:ascii="Times New Roman" w:hAnsi="Times New Roman" w:cs="Times New Roman"/>
                <w:szCs w:val="22"/>
              </w:rPr>
              <w:t>5.1.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IDENTIFIKACIJA RAZVOJNIH POTREBA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49</w:t>
            </w:r>
            <w:r w:rsidR="0037359D">
              <w:rPr>
                <w:rFonts w:ascii="Times New Roman" w:hAnsi="Times New Roman" w:cs="Times New Roman"/>
                <w:sz w:val="22"/>
                <w:szCs w:val="22"/>
              </w:rPr>
              <w:fldChar w:fldCharType="end"/>
            </w:r>
          </w:hyperlink>
        </w:p>
        <w:p w14:paraId="45D05748" w14:textId="1313846C" w:rsidR="00496804" w:rsidRDefault="004A10C1">
          <w:pPr>
            <w:pStyle w:val="Sadraj2"/>
            <w:ind w:right="134"/>
            <w:rPr>
              <w:rFonts w:ascii="Times New Roman" w:hAnsi="Times New Roman" w:cs="Times New Roman"/>
              <w:sz w:val="22"/>
              <w:szCs w:val="22"/>
              <w:lang w:val="hr-HR" w:eastAsia="hr-HR"/>
            </w:rPr>
          </w:pPr>
          <w:hyperlink w:anchor="_Toc51851645" w:history="1">
            <w:r w:rsidR="0037359D">
              <w:rPr>
                <w:rStyle w:val="Hiperveza"/>
                <w:rFonts w:ascii="Times New Roman" w:hAnsi="Times New Roman" w:cs="Times New Roman"/>
                <w:szCs w:val="22"/>
              </w:rPr>
              <w:t>5.2.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RAZVOJNI POTENCIJALI (MOGUĆNOSTI)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50</w:t>
            </w:r>
            <w:r w:rsidR="0037359D">
              <w:rPr>
                <w:rFonts w:ascii="Times New Roman" w:hAnsi="Times New Roman" w:cs="Times New Roman"/>
                <w:sz w:val="22"/>
                <w:szCs w:val="22"/>
              </w:rPr>
              <w:fldChar w:fldCharType="end"/>
            </w:r>
          </w:hyperlink>
        </w:p>
        <w:p w14:paraId="45D05749" w14:textId="1EDE9FEF" w:rsidR="00496804" w:rsidRDefault="004A10C1">
          <w:pPr>
            <w:pStyle w:val="Sadraj2"/>
            <w:ind w:right="134"/>
            <w:rPr>
              <w:rFonts w:ascii="Times New Roman" w:hAnsi="Times New Roman" w:cs="Times New Roman"/>
              <w:sz w:val="22"/>
              <w:szCs w:val="22"/>
              <w:lang w:val="hr-HR" w:eastAsia="hr-HR"/>
            </w:rPr>
          </w:pPr>
          <w:hyperlink w:anchor="_Toc51851646" w:history="1">
            <w:r w:rsidR="0037359D">
              <w:rPr>
                <w:rStyle w:val="Hiperveza"/>
                <w:rFonts w:ascii="Times New Roman" w:hAnsi="Times New Roman" w:cs="Times New Roman"/>
                <w:szCs w:val="22"/>
              </w:rPr>
              <w:t>5.3.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 xml:space="preserve">IDENTIFIKACIJA IZAZOVA </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51</w:t>
            </w:r>
            <w:r w:rsidR="0037359D">
              <w:rPr>
                <w:rFonts w:ascii="Times New Roman" w:hAnsi="Times New Roman" w:cs="Times New Roman"/>
                <w:sz w:val="22"/>
                <w:szCs w:val="22"/>
              </w:rPr>
              <w:fldChar w:fldCharType="end"/>
            </w:r>
          </w:hyperlink>
        </w:p>
        <w:p w14:paraId="45D0574A" w14:textId="6D4C6F4A" w:rsidR="00496804" w:rsidRDefault="004A10C1">
          <w:pPr>
            <w:pStyle w:val="Sadraj2"/>
            <w:ind w:right="134"/>
            <w:rPr>
              <w:rFonts w:ascii="Times New Roman" w:hAnsi="Times New Roman" w:cs="Times New Roman"/>
              <w:sz w:val="22"/>
              <w:szCs w:val="22"/>
              <w:lang w:val="hr-HR" w:eastAsia="hr-HR"/>
            </w:rPr>
          </w:pPr>
          <w:hyperlink w:anchor="_Toc51851647" w:history="1">
            <w:r w:rsidR="0037359D">
              <w:rPr>
                <w:rStyle w:val="Hiperveza"/>
                <w:rFonts w:ascii="Times New Roman" w:hAnsi="Times New Roman" w:cs="Times New Roman"/>
                <w:szCs w:val="22"/>
              </w:rPr>
              <w:t>5.4.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SWOT ANALIZA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52</w:t>
            </w:r>
            <w:r w:rsidR="0037359D">
              <w:rPr>
                <w:rFonts w:ascii="Times New Roman" w:hAnsi="Times New Roman" w:cs="Times New Roman"/>
                <w:sz w:val="22"/>
                <w:szCs w:val="22"/>
              </w:rPr>
              <w:fldChar w:fldCharType="end"/>
            </w:r>
          </w:hyperlink>
        </w:p>
        <w:p w14:paraId="45D0574B" w14:textId="1641DEF7"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8" w:history="1">
            <w:r w:rsidR="0037359D">
              <w:rPr>
                <w:rStyle w:val="Hiperveza"/>
                <w:rFonts w:ascii="Times New Roman" w:hAnsi="Times New Roman" w:cs="Times New Roman"/>
                <w:szCs w:val="22"/>
              </w:rPr>
              <w:t>6.</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OPIS PRIORITETA JAVNE POLITIKE U SREDNJOROČNOM RAZDOBLJU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54</w:t>
            </w:r>
            <w:r w:rsidR="0037359D">
              <w:rPr>
                <w:rFonts w:ascii="Times New Roman" w:hAnsi="Times New Roman" w:cs="Times New Roman"/>
                <w:sz w:val="22"/>
                <w:szCs w:val="22"/>
              </w:rPr>
              <w:fldChar w:fldCharType="end"/>
            </w:r>
          </w:hyperlink>
        </w:p>
        <w:p w14:paraId="45D0574C" w14:textId="1CF0C924"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9" w:history="1">
            <w:r w:rsidR="0037359D">
              <w:rPr>
                <w:rStyle w:val="Hiperveza"/>
                <w:rFonts w:ascii="Times New Roman" w:hAnsi="Times New Roman" w:cs="Times New Roman"/>
                <w:szCs w:val="22"/>
              </w:rPr>
              <w:t>7.</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SREDNJOROČNA VIZIJA RAZVOJA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55</w:t>
            </w:r>
            <w:r w:rsidR="0037359D">
              <w:rPr>
                <w:rFonts w:ascii="Times New Roman" w:hAnsi="Times New Roman" w:cs="Times New Roman"/>
                <w:sz w:val="22"/>
                <w:szCs w:val="22"/>
              </w:rPr>
              <w:fldChar w:fldCharType="end"/>
            </w:r>
          </w:hyperlink>
        </w:p>
        <w:p w14:paraId="45D0574D" w14:textId="15419C0E" w:rsidR="00496804" w:rsidRDefault="004A10C1">
          <w:pPr>
            <w:pStyle w:val="Sadraj2"/>
            <w:ind w:right="134"/>
            <w:rPr>
              <w:rFonts w:ascii="Times New Roman" w:hAnsi="Times New Roman" w:cs="Times New Roman"/>
              <w:sz w:val="22"/>
              <w:szCs w:val="22"/>
              <w:lang w:val="hr-HR" w:eastAsia="hr-HR"/>
            </w:rPr>
          </w:pPr>
          <w:hyperlink w:anchor="_Toc51851650" w:history="1">
            <w:r w:rsidR="0037359D">
              <w:rPr>
                <w:rStyle w:val="Hiperveza"/>
                <w:rFonts w:ascii="Times New Roman" w:hAnsi="Times New Roman" w:cs="Times New Roman"/>
                <w:szCs w:val="22"/>
              </w:rPr>
              <w:t>7.1.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TEMELJI VIZIJE RAZVOJA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55</w:t>
            </w:r>
            <w:r w:rsidR="0037359D">
              <w:rPr>
                <w:rFonts w:ascii="Times New Roman" w:hAnsi="Times New Roman" w:cs="Times New Roman"/>
                <w:sz w:val="22"/>
                <w:szCs w:val="22"/>
              </w:rPr>
              <w:fldChar w:fldCharType="end"/>
            </w:r>
          </w:hyperlink>
        </w:p>
        <w:p w14:paraId="45D0574E" w14:textId="2582C91C"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1" w:history="1">
            <w:r w:rsidR="0037359D">
              <w:rPr>
                <w:rStyle w:val="Hiperveza"/>
                <w:rFonts w:ascii="Times New Roman" w:hAnsi="Times New Roman" w:cs="Times New Roman"/>
                <w:szCs w:val="22"/>
              </w:rPr>
              <w:t>8.</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POSEBNI CILJEVI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57</w:t>
            </w:r>
            <w:r w:rsidR="0037359D">
              <w:rPr>
                <w:rFonts w:ascii="Times New Roman" w:hAnsi="Times New Roman" w:cs="Times New Roman"/>
                <w:sz w:val="22"/>
                <w:szCs w:val="22"/>
              </w:rPr>
              <w:fldChar w:fldCharType="end"/>
            </w:r>
          </w:hyperlink>
        </w:p>
        <w:p w14:paraId="45D0574F" w14:textId="6CA924F9"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2" w:history="1">
            <w:r w:rsidR="0037359D">
              <w:rPr>
                <w:rStyle w:val="Hiperveza"/>
                <w:rFonts w:ascii="Times New Roman" w:hAnsi="Times New Roman" w:cs="Times New Roman"/>
                <w:szCs w:val="22"/>
              </w:rPr>
              <w:t>9.</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POKAZATELJI ISHODA POSEBNIH CILJEVA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59</w:t>
            </w:r>
            <w:r w:rsidR="0037359D">
              <w:rPr>
                <w:rFonts w:ascii="Times New Roman" w:hAnsi="Times New Roman" w:cs="Times New Roman"/>
                <w:sz w:val="22"/>
                <w:szCs w:val="22"/>
              </w:rPr>
              <w:fldChar w:fldCharType="end"/>
            </w:r>
          </w:hyperlink>
        </w:p>
        <w:p w14:paraId="45D05750" w14:textId="7DF6D86F" w:rsidR="00496804" w:rsidRDefault="004A10C1">
          <w:pPr>
            <w:pStyle w:val="Sadraj2"/>
            <w:ind w:right="134"/>
            <w:rPr>
              <w:rFonts w:ascii="Times New Roman" w:hAnsi="Times New Roman" w:cs="Times New Roman"/>
              <w:sz w:val="22"/>
              <w:szCs w:val="22"/>
              <w:lang w:val="hr-HR" w:eastAsia="hr-HR"/>
            </w:rPr>
          </w:pPr>
          <w:hyperlink w:anchor="_Toc51851653" w:history="1">
            <w:r w:rsidR="0037359D">
              <w:rPr>
                <w:rStyle w:val="Hiperveza"/>
                <w:rFonts w:ascii="Times New Roman" w:hAnsi="Times New Roman" w:cs="Times New Roman"/>
                <w:szCs w:val="22"/>
              </w:rPr>
              <w:t>9.1.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ANALIZA DOSTUPNIH POKAZATELJA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59</w:t>
            </w:r>
            <w:r w:rsidR="0037359D">
              <w:rPr>
                <w:rFonts w:ascii="Times New Roman" w:hAnsi="Times New Roman" w:cs="Times New Roman"/>
                <w:sz w:val="22"/>
                <w:szCs w:val="22"/>
              </w:rPr>
              <w:fldChar w:fldCharType="end"/>
            </w:r>
          </w:hyperlink>
        </w:p>
        <w:p w14:paraId="45D05751" w14:textId="282CD3B9" w:rsidR="00496804" w:rsidRDefault="004A10C1">
          <w:pPr>
            <w:pStyle w:val="Sadraj2"/>
            <w:ind w:right="134"/>
            <w:rPr>
              <w:rFonts w:ascii="Times New Roman" w:hAnsi="Times New Roman" w:cs="Times New Roman"/>
              <w:sz w:val="22"/>
              <w:szCs w:val="22"/>
              <w:lang w:val="hr-HR" w:eastAsia="hr-HR"/>
            </w:rPr>
          </w:pPr>
          <w:hyperlink w:anchor="_Toc51851654" w:history="1">
            <w:r w:rsidR="0037359D">
              <w:rPr>
                <w:rStyle w:val="Hiperveza"/>
                <w:rFonts w:ascii="Times New Roman" w:hAnsi="Times New Roman" w:cs="Times New Roman"/>
                <w:szCs w:val="22"/>
              </w:rPr>
              <w:t>9.2.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POKAZATELJI ISHODA POSEBNIH CILJEVA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61</w:t>
            </w:r>
            <w:r w:rsidR="0037359D">
              <w:rPr>
                <w:rFonts w:ascii="Times New Roman" w:hAnsi="Times New Roman" w:cs="Times New Roman"/>
                <w:sz w:val="22"/>
                <w:szCs w:val="22"/>
              </w:rPr>
              <w:fldChar w:fldCharType="end"/>
            </w:r>
          </w:hyperlink>
        </w:p>
        <w:p w14:paraId="45D05752" w14:textId="0DC4F07A"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5" w:history="1">
            <w:r w:rsidR="0037359D">
              <w:rPr>
                <w:rStyle w:val="Hiperveza"/>
                <w:rFonts w:ascii="Times New Roman" w:hAnsi="Times New Roman" w:cs="Times New Roman"/>
                <w:szCs w:val="22"/>
              </w:rPr>
              <w:t>10.</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RAZVOJNE MJERE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62</w:t>
            </w:r>
            <w:r w:rsidR="0037359D">
              <w:rPr>
                <w:rFonts w:ascii="Times New Roman" w:hAnsi="Times New Roman" w:cs="Times New Roman"/>
                <w:sz w:val="22"/>
                <w:szCs w:val="22"/>
              </w:rPr>
              <w:fldChar w:fldCharType="end"/>
            </w:r>
          </w:hyperlink>
        </w:p>
        <w:p w14:paraId="45D05753" w14:textId="56E8DB77"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6" w:history="1">
            <w:r w:rsidR="0037359D">
              <w:rPr>
                <w:rStyle w:val="Hiperveza"/>
                <w:rFonts w:ascii="Times New Roman" w:hAnsi="Times New Roman" w:cs="Times New Roman"/>
                <w:szCs w:val="22"/>
              </w:rPr>
              <w:t>11.</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TERMINSKI PLAN PROVEDBE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72</w:t>
            </w:r>
            <w:r w:rsidR="0037359D">
              <w:rPr>
                <w:rFonts w:ascii="Times New Roman" w:hAnsi="Times New Roman" w:cs="Times New Roman"/>
                <w:sz w:val="22"/>
                <w:szCs w:val="22"/>
              </w:rPr>
              <w:fldChar w:fldCharType="end"/>
            </w:r>
          </w:hyperlink>
        </w:p>
        <w:p w14:paraId="45D05754" w14:textId="109AB43B"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7" w:history="1">
            <w:r w:rsidR="0037359D">
              <w:rPr>
                <w:rStyle w:val="Hiperveza"/>
                <w:rFonts w:ascii="Times New Roman" w:hAnsi="Times New Roman" w:cs="Times New Roman"/>
                <w:szCs w:val="22"/>
              </w:rPr>
              <w:t>12.</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INDIKATIVNI FINANCIJSKI PLAN</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73</w:t>
            </w:r>
            <w:r w:rsidR="0037359D">
              <w:rPr>
                <w:rFonts w:ascii="Times New Roman" w:hAnsi="Times New Roman" w:cs="Times New Roman"/>
                <w:sz w:val="22"/>
                <w:szCs w:val="22"/>
              </w:rPr>
              <w:fldChar w:fldCharType="end"/>
            </w:r>
          </w:hyperlink>
        </w:p>
        <w:p w14:paraId="45D05755" w14:textId="2F47C46C"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8" w:history="1">
            <w:r w:rsidR="0037359D">
              <w:rPr>
                <w:rStyle w:val="Hiperveza"/>
                <w:rFonts w:ascii="Times New Roman" w:hAnsi="Times New Roman" w:cs="Times New Roman"/>
                <w:szCs w:val="22"/>
              </w:rPr>
              <w:t>13.</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ZA PROVEDBU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75</w:t>
            </w:r>
            <w:r w:rsidR="0037359D">
              <w:rPr>
                <w:rFonts w:ascii="Times New Roman" w:hAnsi="Times New Roman" w:cs="Times New Roman"/>
                <w:sz w:val="22"/>
                <w:szCs w:val="22"/>
              </w:rPr>
              <w:fldChar w:fldCharType="end"/>
            </w:r>
          </w:hyperlink>
        </w:p>
        <w:p w14:paraId="45D05756" w14:textId="1B2711C4" w:rsidR="00496804" w:rsidRDefault="004A10C1">
          <w:pPr>
            <w:pStyle w:val="Sadraj2"/>
            <w:ind w:right="134"/>
            <w:rPr>
              <w:rFonts w:ascii="Times New Roman" w:hAnsi="Times New Roman" w:cs="Times New Roman"/>
              <w:sz w:val="22"/>
              <w:szCs w:val="22"/>
              <w:lang w:val="hr-HR" w:eastAsia="hr-HR"/>
            </w:rPr>
          </w:pPr>
          <w:hyperlink w:anchor="_Toc51851659" w:history="1">
            <w:r w:rsidR="0037359D">
              <w:rPr>
                <w:rStyle w:val="Hiperveza"/>
                <w:rFonts w:ascii="Times New Roman" w:hAnsi="Times New Roman" w:cs="Times New Roman"/>
                <w:szCs w:val="22"/>
              </w:rPr>
              <w:t>13.1.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INSTITUCIONALNI OKVIR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75</w:t>
            </w:r>
            <w:r w:rsidR="0037359D">
              <w:rPr>
                <w:rFonts w:ascii="Times New Roman" w:hAnsi="Times New Roman" w:cs="Times New Roman"/>
                <w:sz w:val="22"/>
                <w:szCs w:val="22"/>
              </w:rPr>
              <w:fldChar w:fldCharType="end"/>
            </w:r>
          </w:hyperlink>
        </w:p>
        <w:p w14:paraId="45D05757" w14:textId="131DA7D0" w:rsidR="00496804" w:rsidRDefault="004A10C1">
          <w:pPr>
            <w:pStyle w:val="Sadraj2"/>
            <w:ind w:right="134"/>
            <w:rPr>
              <w:rFonts w:ascii="Times New Roman" w:hAnsi="Times New Roman" w:cs="Times New Roman"/>
              <w:sz w:val="22"/>
              <w:szCs w:val="22"/>
              <w:lang w:val="hr-HR" w:eastAsia="hr-HR"/>
            </w:rPr>
          </w:pPr>
          <w:hyperlink w:anchor="_Toc51851660" w:history="1">
            <w:r w:rsidR="0037359D">
              <w:rPr>
                <w:rStyle w:val="Hiperveza"/>
                <w:rFonts w:ascii="Times New Roman" w:hAnsi="Times New Roman" w:cs="Times New Roman"/>
                <w:szCs w:val="22"/>
              </w:rPr>
              <w:t>13.2.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ZAKONSKI OKVIR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75</w:t>
            </w:r>
            <w:r w:rsidR="0037359D">
              <w:rPr>
                <w:rFonts w:ascii="Times New Roman" w:hAnsi="Times New Roman" w:cs="Times New Roman"/>
                <w:sz w:val="22"/>
                <w:szCs w:val="22"/>
              </w:rPr>
              <w:fldChar w:fldCharType="end"/>
            </w:r>
          </w:hyperlink>
        </w:p>
        <w:p w14:paraId="45D05758" w14:textId="7EAB1C48" w:rsidR="00496804" w:rsidRDefault="004A10C1">
          <w:pPr>
            <w:pStyle w:val="Sadraj2"/>
            <w:ind w:right="134"/>
            <w:rPr>
              <w:rFonts w:ascii="Times New Roman" w:hAnsi="Times New Roman" w:cs="Times New Roman"/>
              <w:sz w:val="22"/>
              <w:szCs w:val="22"/>
              <w:lang w:val="hr-HR" w:eastAsia="hr-HR"/>
            </w:rPr>
          </w:pPr>
          <w:hyperlink w:anchor="_Toc51851661" w:history="1">
            <w:r w:rsidR="0037359D">
              <w:rPr>
                <w:rStyle w:val="Hiperveza"/>
                <w:rFonts w:ascii="Times New Roman" w:hAnsi="Times New Roman" w:cs="Times New Roman"/>
                <w:szCs w:val="22"/>
              </w:rPr>
              <w:t>13.3.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FINANCIJSKI OKVIR</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75</w:t>
            </w:r>
            <w:r w:rsidR="0037359D">
              <w:rPr>
                <w:rFonts w:ascii="Times New Roman" w:hAnsi="Times New Roman" w:cs="Times New Roman"/>
                <w:sz w:val="22"/>
                <w:szCs w:val="22"/>
              </w:rPr>
              <w:fldChar w:fldCharType="end"/>
            </w:r>
          </w:hyperlink>
        </w:p>
        <w:p w14:paraId="45D05759" w14:textId="25FC81F7"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62" w:history="1">
            <w:r w:rsidR="0037359D">
              <w:rPr>
                <w:rStyle w:val="Hiperveza"/>
                <w:rFonts w:ascii="Times New Roman" w:hAnsi="Times New Roman" w:cs="Times New Roman"/>
                <w:szCs w:val="22"/>
              </w:rPr>
              <w:t>14.</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ZA PRAĆENJE I VREDNOVANJE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77</w:t>
            </w:r>
            <w:r w:rsidR="0037359D">
              <w:rPr>
                <w:rFonts w:ascii="Times New Roman" w:hAnsi="Times New Roman" w:cs="Times New Roman"/>
                <w:sz w:val="22"/>
                <w:szCs w:val="22"/>
              </w:rPr>
              <w:fldChar w:fldCharType="end"/>
            </w:r>
          </w:hyperlink>
        </w:p>
        <w:p w14:paraId="45D0575A" w14:textId="5D870780" w:rsidR="00496804" w:rsidRDefault="004A10C1">
          <w:pPr>
            <w:pStyle w:val="Sadraj2"/>
            <w:ind w:right="134"/>
            <w:rPr>
              <w:rFonts w:ascii="Times New Roman" w:hAnsi="Times New Roman" w:cs="Times New Roman"/>
              <w:sz w:val="22"/>
              <w:szCs w:val="22"/>
              <w:lang w:val="hr-HR" w:eastAsia="hr-HR"/>
            </w:rPr>
          </w:pPr>
          <w:hyperlink w:anchor="_Toc51851663" w:history="1">
            <w:r w:rsidR="0037359D">
              <w:rPr>
                <w:rStyle w:val="Hiperveza"/>
                <w:rFonts w:ascii="Times New Roman" w:hAnsi="Times New Roman" w:cs="Times New Roman"/>
                <w:szCs w:val="22"/>
              </w:rPr>
              <w:t>14.1.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PRAĆENJE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77</w:t>
            </w:r>
            <w:r w:rsidR="0037359D">
              <w:rPr>
                <w:rFonts w:ascii="Times New Roman" w:hAnsi="Times New Roman" w:cs="Times New Roman"/>
                <w:sz w:val="22"/>
                <w:szCs w:val="22"/>
              </w:rPr>
              <w:fldChar w:fldCharType="end"/>
            </w:r>
          </w:hyperlink>
        </w:p>
        <w:p w14:paraId="45D0575B" w14:textId="0E72A9E9" w:rsidR="00496804" w:rsidRDefault="004A10C1">
          <w:pPr>
            <w:pStyle w:val="Sadraj2"/>
            <w:ind w:right="134"/>
            <w:rPr>
              <w:rFonts w:ascii="Times New Roman" w:hAnsi="Times New Roman" w:cs="Times New Roman"/>
              <w:sz w:val="22"/>
              <w:szCs w:val="22"/>
              <w:lang w:val="hr-HR" w:eastAsia="hr-HR"/>
            </w:rPr>
          </w:pPr>
          <w:hyperlink w:anchor="_Toc51851664" w:history="1">
            <w:r w:rsidR="0037359D">
              <w:rPr>
                <w:rStyle w:val="Hiperveza"/>
                <w:rFonts w:ascii="Times New Roman" w:hAnsi="Times New Roman" w:cs="Times New Roman"/>
                <w:szCs w:val="22"/>
              </w:rPr>
              <w:t>14.2.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IZVJEŠTAVANJE O PROVEDBI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83</w:t>
            </w:r>
            <w:r w:rsidR="0037359D">
              <w:rPr>
                <w:rFonts w:ascii="Times New Roman" w:hAnsi="Times New Roman" w:cs="Times New Roman"/>
                <w:sz w:val="22"/>
                <w:szCs w:val="22"/>
              </w:rPr>
              <w:fldChar w:fldCharType="end"/>
            </w:r>
          </w:hyperlink>
        </w:p>
        <w:p w14:paraId="45D0575C" w14:textId="247D9857" w:rsidR="00496804" w:rsidRDefault="004A10C1">
          <w:pPr>
            <w:pStyle w:val="Sadraj2"/>
            <w:ind w:right="134"/>
            <w:rPr>
              <w:rFonts w:ascii="Times New Roman" w:hAnsi="Times New Roman" w:cs="Times New Roman"/>
              <w:sz w:val="22"/>
              <w:szCs w:val="22"/>
              <w:lang w:val="hr-HR" w:eastAsia="hr-HR"/>
            </w:rPr>
          </w:pPr>
          <w:hyperlink w:anchor="_Toc51851665" w:history="1">
            <w:r w:rsidR="0037359D">
              <w:rPr>
                <w:rStyle w:val="Hiperveza"/>
                <w:rFonts w:ascii="Times New Roman" w:hAnsi="Times New Roman" w:cs="Times New Roman"/>
                <w:szCs w:val="22"/>
              </w:rPr>
              <w:t>14.3.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VREDNOVANJE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83</w:t>
            </w:r>
            <w:r w:rsidR="0037359D">
              <w:rPr>
                <w:rFonts w:ascii="Times New Roman" w:hAnsi="Times New Roman" w:cs="Times New Roman"/>
                <w:sz w:val="22"/>
                <w:szCs w:val="22"/>
              </w:rPr>
              <w:fldChar w:fldCharType="end"/>
            </w:r>
          </w:hyperlink>
        </w:p>
        <w:p w14:paraId="45D0575D" w14:textId="0D93D512" w:rsidR="00496804" w:rsidRDefault="004A10C1">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66" w:history="1">
            <w:r w:rsidR="0037359D">
              <w:rPr>
                <w:rStyle w:val="Hiperveza"/>
                <w:rFonts w:ascii="Times New Roman" w:hAnsi="Times New Roman" w:cs="Times New Roman"/>
                <w:szCs w:val="22"/>
              </w:rPr>
              <w:t>15.</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POPIS LITERATURE I IZVORA PODATAKA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2D7DE9">
              <w:rPr>
                <w:rFonts w:ascii="Times New Roman" w:hAnsi="Times New Roman" w:cs="Times New Roman"/>
                <w:noProof/>
                <w:sz w:val="22"/>
                <w:szCs w:val="22"/>
              </w:rPr>
              <w:t>86</w:t>
            </w:r>
            <w:r w:rsidR="0037359D">
              <w:rPr>
                <w:rFonts w:ascii="Times New Roman" w:hAnsi="Times New Roman" w:cs="Times New Roman"/>
                <w:sz w:val="22"/>
                <w:szCs w:val="22"/>
              </w:rPr>
              <w:fldChar w:fldCharType="end"/>
            </w:r>
          </w:hyperlink>
        </w:p>
        <w:p w14:paraId="45D0575E" w14:textId="77777777" w:rsidR="00496804" w:rsidRDefault="0037359D">
          <w:pPr>
            <w:tabs>
              <w:tab w:val="left" w:pos="709"/>
              <w:tab w:val="right" w:leader="dot" w:pos="9356"/>
              <w:tab w:val="right" w:leader="dot" w:pos="9462"/>
            </w:tabs>
            <w:spacing w:line="240" w:lineRule="auto"/>
            <w:ind w:left="765" w:right="134" w:hanging="623"/>
            <w:rPr>
              <w:rFonts w:ascii="Times New Roman" w:hAnsi="Times New Roman"/>
              <w:b/>
              <w:bCs/>
              <w:szCs w:val="22"/>
            </w:rPr>
          </w:pPr>
          <w:r>
            <w:rPr>
              <w:rFonts w:ascii="Times New Roman" w:hAnsi="Times New Roman"/>
              <w:b/>
              <w:bCs/>
              <w:szCs w:val="22"/>
            </w:rPr>
            <w:fldChar w:fldCharType="end"/>
          </w:r>
        </w:p>
        <w:p w14:paraId="45D0575F" w14:textId="77777777" w:rsidR="00496804" w:rsidRDefault="004A10C1">
          <w:pPr>
            <w:tabs>
              <w:tab w:val="right" w:leader="dot" w:pos="9356"/>
            </w:tabs>
            <w:spacing w:line="240" w:lineRule="auto"/>
            <w:ind w:left="283" w:right="134"/>
            <w:rPr>
              <w:rFonts w:ascii="Times New Roman" w:hAnsi="Times New Roman"/>
              <w:sz w:val="24"/>
            </w:rPr>
          </w:pPr>
        </w:p>
      </w:sdtContent>
    </w:sdt>
    <w:p w14:paraId="45D05760" w14:textId="77777777" w:rsidR="00496804" w:rsidRDefault="00496804">
      <w:pPr>
        <w:spacing w:after="160" w:line="259" w:lineRule="auto"/>
        <w:rPr>
          <w:rFonts w:ascii="Times New Roman" w:hAnsi="Times New Roman"/>
          <w:sz w:val="24"/>
        </w:rPr>
      </w:pPr>
    </w:p>
    <w:bookmarkEnd w:id="0"/>
    <w:p w14:paraId="45D0576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5D05762" w14:textId="77777777" w:rsidR="00496804" w:rsidRDefault="0037359D">
      <w:pPr>
        <w:spacing w:line="240" w:lineRule="auto"/>
        <w:rPr>
          <w:rFonts w:ascii="Times New Roman" w:hAnsi="Times New Roman"/>
          <w:b/>
          <w:bCs/>
          <w:sz w:val="24"/>
          <w:lang w:eastAsia="en-US"/>
        </w:rPr>
      </w:pPr>
      <w:r>
        <w:rPr>
          <w:rFonts w:ascii="Times New Roman" w:hAnsi="Times New Roman"/>
          <w:b/>
          <w:bCs/>
          <w:sz w:val="24"/>
        </w:rPr>
        <w:lastRenderedPageBreak/>
        <w:t>POPIS KRATICA</w:t>
      </w:r>
    </w:p>
    <w:p w14:paraId="45D05763" w14:textId="77777777" w:rsidR="00496804" w:rsidRDefault="00496804">
      <w:pPr>
        <w:spacing w:line="240" w:lineRule="auto"/>
        <w:rPr>
          <w:rFonts w:ascii="Times New Roman" w:hAnsi="Times New Roman"/>
          <w:sz w:val="24"/>
        </w:rPr>
      </w:pPr>
    </w:p>
    <w:tbl>
      <w:tblPr>
        <w:tblStyle w:val="Reetkatablice"/>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28" w:type="dxa"/>
          <w:right w:w="28" w:type="dxa"/>
        </w:tblCellMar>
        <w:tblLook w:val="04A0" w:firstRow="1" w:lastRow="0" w:firstColumn="1" w:lastColumn="0" w:noHBand="0" w:noVBand="1"/>
      </w:tblPr>
      <w:tblGrid>
        <w:gridCol w:w="1980"/>
        <w:gridCol w:w="7642"/>
      </w:tblGrid>
      <w:tr w:rsidR="00496804" w14:paraId="45D05766"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4" w14:textId="77777777" w:rsidR="00496804" w:rsidRDefault="0037359D">
            <w:pPr>
              <w:spacing w:line="240" w:lineRule="auto"/>
              <w:ind w:left="170"/>
              <w:rPr>
                <w:rFonts w:ascii="Times New Roman" w:hAnsi="Times New Roman"/>
                <w:sz w:val="24"/>
              </w:rPr>
            </w:pPr>
            <w:r>
              <w:rPr>
                <w:rFonts w:ascii="Times New Roman" w:hAnsi="Times New Roman"/>
                <w:sz w:val="24"/>
              </w:rPr>
              <w:t>BAMB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5"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Buildings as Material Banks </w:t>
            </w:r>
          </w:p>
        </w:tc>
      </w:tr>
      <w:tr w:rsidR="00496804" w14:paraId="45D0576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7" w14:textId="77777777" w:rsidR="00496804" w:rsidRDefault="0037359D">
            <w:pPr>
              <w:spacing w:line="240" w:lineRule="auto"/>
              <w:ind w:left="170"/>
              <w:rPr>
                <w:rFonts w:ascii="Times New Roman" w:hAnsi="Times New Roman"/>
                <w:sz w:val="24"/>
              </w:rPr>
            </w:pPr>
            <w:r>
              <w:rPr>
                <w:rFonts w:ascii="Times New Roman" w:hAnsi="Times New Roman"/>
                <w:sz w:val="24"/>
              </w:rPr>
              <w:t>BDP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8" w14:textId="77777777" w:rsidR="00496804" w:rsidRDefault="0037359D">
            <w:pPr>
              <w:spacing w:line="240" w:lineRule="auto"/>
              <w:ind w:left="170"/>
              <w:rPr>
                <w:rFonts w:ascii="Times New Roman" w:hAnsi="Times New Roman"/>
                <w:sz w:val="24"/>
              </w:rPr>
            </w:pPr>
            <w:r>
              <w:rPr>
                <w:rFonts w:ascii="Times New Roman" w:hAnsi="Times New Roman"/>
                <w:sz w:val="24"/>
              </w:rPr>
              <w:t>Bruto domaći proizvod</w:t>
            </w:r>
          </w:p>
        </w:tc>
      </w:tr>
      <w:tr w:rsidR="00496804" w14:paraId="45D0576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A" w14:textId="77777777" w:rsidR="00496804" w:rsidRDefault="0037359D">
            <w:pPr>
              <w:spacing w:line="240" w:lineRule="auto"/>
              <w:ind w:left="170"/>
              <w:rPr>
                <w:rFonts w:ascii="Times New Roman" w:hAnsi="Times New Roman"/>
                <w:sz w:val="24"/>
              </w:rPr>
            </w:pPr>
            <w:r>
              <w:rPr>
                <w:rFonts w:ascii="Times New Roman" w:hAnsi="Times New Roman"/>
                <w:sz w:val="24"/>
              </w:rPr>
              <w:t>BIM</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B" w14:textId="77777777" w:rsidR="00496804" w:rsidRDefault="0037359D">
            <w:pPr>
              <w:spacing w:line="240" w:lineRule="auto"/>
              <w:ind w:left="170"/>
              <w:rPr>
                <w:rFonts w:ascii="Times New Roman" w:hAnsi="Times New Roman"/>
                <w:sz w:val="24"/>
              </w:rPr>
            </w:pPr>
            <w:r>
              <w:rPr>
                <w:rFonts w:ascii="Times New Roman" w:hAnsi="Times New Roman"/>
                <w:sz w:val="24"/>
              </w:rPr>
              <w:t>Building Information Modeling</w:t>
            </w:r>
          </w:p>
        </w:tc>
      </w:tr>
      <w:tr w:rsidR="00496804" w14:paraId="45D0576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D" w14:textId="77777777" w:rsidR="00496804" w:rsidRDefault="0037359D">
            <w:pPr>
              <w:spacing w:line="240" w:lineRule="auto"/>
              <w:ind w:left="170"/>
              <w:rPr>
                <w:rFonts w:ascii="Times New Roman" w:hAnsi="Times New Roman"/>
                <w:sz w:val="24"/>
              </w:rPr>
            </w:pPr>
            <w:r>
              <w:rPr>
                <w:rFonts w:ascii="Times New Roman" w:hAnsi="Times New Roman"/>
                <w:sz w:val="24"/>
              </w:rPr>
              <w:t>COM</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E" w14:textId="77777777" w:rsidR="00496804" w:rsidRDefault="0037359D">
            <w:pPr>
              <w:spacing w:line="240" w:lineRule="auto"/>
              <w:ind w:left="170"/>
              <w:rPr>
                <w:rFonts w:ascii="Times New Roman" w:hAnsi="Times New Roman"/>
                <w:sz w:val="24"/>
              </w:rPr>
            </w:pPr>
            <w:r>
              <w:rPr>
                <w:rFonts w:ascii="Times New Roman" w:hAnsi="Times New Roman"/>
                <w:sz w:val="24"/>
              </w:rPr>
              <w:t>Komunikacija Europske Komisije</w:t>
            </w:r>
          </w:p>
        </w:tc>
      </w:tr>
      <w:tr w:rsidR="00496804" w14:paraId="45D0577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0" w14:textId="77777777" w:rsidR="00496804" w:rsidRDefault="0037359D">
            <w:pPr>
              <w:spacing w:line="240" w:lineRule="auto"/>
              <w:ind w:left="170"/>
              <w:rPr>
                <w:rFonts w:ascii="Times New Roman" w:hAnsi="Times New Roman"/>
                <w:sz w:val="24"/>
              </w:rPr>
            </w:pPr>
            <w:r>
              <w:rPr>
                <w:rFonts w:ascii="Times New Roman" w:hAnsi="Times New Roman"/>
                <w:sz w:val="24"/>
              </w:rPr>
              <w:t>CROSBI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1" w14:textId="77777777" w:rsidR="00496804" w:rsidRDefault="0037359D">
            <w:pPr>
              <w:spacing w:line="240" w:lineRule="auto"/>
              <w:ind w:left="170"/>
              <w:rPr>
                <w:rFonts w:ascii="Times New Roman" w:hAnsi="Times New Roman"/>
                <w:sz w:val="24"/>
              </w:rPr>
            </w:pPr>
            <w:r>
              <w:rPr>
                <w:rFonts w:ascii="Times New Roman" w:hAnsi="Times New Roman"/>
                <w:sz w:val="24"/>
              </w:rPr>
              <w:t>Hrvatska znanstvena bibliografija</w:t>
            </w:r>
          </w:p>
        </w:tc>
      </w:tr>
      <w:tr w:rsidR="00496804" w14:paraId="45D0577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3" w14:textId="77777777" w:rsidR="00496804" w:rsidRDefault="0037359D">
            <w:pPr>
              <w:spacing w:line="240" w:lineRule="auto"/>
              <w:ind w:left="170"/>
              <w:rPr>
                <w:rFonts w:ascii="Times New Roman" w:hAnsi="Times New Roman"/>
                <w:sz w:val="24"/>
              </w:rPr>
            </w:pPr>
            <w:r>
              <w:rPr>
                <w:rFonts w:ascii="Times New Roman" w:hAnsi="Times New Roman"/>
                <w:sz w:val="24"/>
              </w:rPr>
              <w:t>DG ENVI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4" w14:textId="77777777" w:rsidR="00496804" w:rsidRDefault="0037359D">
            <w:pPr>
              <w:spacing w:line="240" w:lineRule="auto"/>
              <w:ind w:left="170"/>
              <w:rPr>
                <w:rFonts w:ascii="Times New Roman" w:hAnsi="Times New Roman"/>
                <w:sz w:val="24"/>
              </w:rPr>
            </w:pPr>
            <w:r>
              <w:rPr>
                <w:rFonts w:ascii="Times New Roman" w:hAnsi="Times New Roman"/>
                <w:sz w:val="24"/>
              </w:rPr>
              <w:t>Opća uprava za okoliš Europske komisije</w:t>
            </w:r>
          </w:p>
        </w:tc>
      </w:tr>
      <w:tr w:rsidR="00496804" w14:paraId="45D0577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6" w14:textId="77777777" w:rsidR="00496804" w:rsidRDefault="0037359D">
            <w:pPr>
              <w:spacing w:line="240" w:lineRule="auto"/>
              <w:ind w:left="170"/>
              <w:rPr>
                <w:rFonts w:ascii="Times New Roman" w:hAnsi="Times New Roman"/>
                <w:sz w:val="24"/>
              </w:rPr>
            </w:pPr>
            <w:r>
              <w:rPr>
                <w:rFonts w:ascii="Times New Roman" w:hAnsi="Times New Roman"/>
                <w:sz w:val="24"/>
              </w:rPr>
              <w:t>DVD</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7" w14:textId="77777777" w:rsidR="00496804" w:rsidRDefault="0037359D">
            <w:pPr>
              <w:spacing w:line="240" w:lineRule="auto"/>
              <w:ind w:left="170"/>
              <w:rPr>
                <w:rFonts w:ascii="Times New Roman" w:hAnsi="Times New Roman"/>
                <w:sz w:val="24"/>
              </w:rPr>
            </w:pPr>
            <w:r>
              <w:rPr>
                <w:rFonts w:ascii="Times New Roman" w:hAnsi="Times New Roman"/>
                <w:sz w:val="24"/>
              </w:rPr>
              <w:t>Dobrovoljno vatrogasno društvo</w:t>
            </w:r>
          </w:p>
        </w:tc>
      </w:tr>
      <w:tr w:rsidR="00496804" w14:paraId="45D0577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9" w14:textId="77777777" w:rsidR="00496804" w:rsidRDefault="0037359D">
            <w:pPr>
              <w:spacing w:line="240" w:lineRule="auto"/>
              <w:ind w:left="170"/>
              <w:rPr>
                <w:rFonts w:ascii="Times New Roman" w:hAnsi="Times New Roman"/>
                <w:sz w:val="24"/>
              </w:rPr>
            </w:pPr>
            <w:r>
              <w:rPr>
                <w:rFonts w:ascii="Times New Roman" w:hAnsi="Times New Roman"/>
                <w:sz w:val="24"/>
              </w:rPr>
              <w:t>DZS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A" w14:textId="77777777" w:rsidR="00496804" w:rsidRDefault="0037359D">
            <w:pPr>
              <w:spacing w:line="240" w:lineRule="auto"/>
              <w:ind w:left="170"/>
              <w:rPr>
                <w:rFonts w:ascii="Times New Roman" w:hAnsi="Times New Roman"/>
                <w:sz w:val="24"/>
              </w:rPr>
            </w:pPr>
            <w:r>
              <w:rPr>
                <w:rFonts w:ascii="Times New Roman" w:hAnsi="Times New Roman"/>
                <w:sz w:val="24"/>
              </w:rPr>
              <w:t>Državni zavod za statistiku</w:t>
            </w:r>
          </w:p>
        </w:tc>
      </w:tr>
      <w:tr w:rsidR="00496804" w14:paraId="45D0577E"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C" w14:textId="77777777" w:rsidR="00496804" w:rsidRDefault="0037359D">
            <w:pPr>
              <w:spacing w:line="240" w:lineRule="auto"/>
              <w:ind w:left="170"/>
              <w:rPr>
                <w:rFonts w:ascii="Times New Roman" w:hAnsi="Times New Roman"/>
                <w:sz w:val="24"/>
              </w:rPr>
            </w:pPr>
            <w:r>
              <w:rPr>
                <w:rFonts w:ascii="Times New Roman" w:hAnsi="Times New Roman"/>
                <w:sz w:val="24"/>
              </w:rPr>
              <w:t>EFRR</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D" w14:textId="77777777" w:rsidR="00496804" w:rsidRDefault="0037359D">
            <w:pPr>
              <w:spacing w:line="240" w:lineRule="auto"/>
              <w:ind w:left="170"/>
              <w:rPr>
                <w:rFonts w:ascii="Times New Roman" w:hAnsi="Times New Roman"/>
                <w:sz w:val="24"/>
              </w:rPr>
            </w:pPr>
            <w:r>
              <w:rPr>
                <w:rFonts w:ascii="Times New Roman" w:hAnsi="Times New Roman"/>
                <w:sz w:val="24"/>
              </w:rPr>
              <w:t>Europski fond za regionalni razvoj</w:t>
            </w:r>
          </w:p>
        </w:tc>
      </w:tr>
      <w:tr w:rsidR="00496804" w14:paraId="45D0578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F" w14:textId="77777777" w:rsidR="00496804" w:rsidRDefault="0037359D">
            <w:pPr>
              <w:spacing w:line="240" w:lineRule="auto"/>
              <w:ind w:left="170"/>
              <w:rPr>
                <w:rFonts w:ascii="Times New Roman" w:hAnsi="Times New Roman"/>
                <w:sz w:val="24"/>
              </w:rPr>
            </w:pPr>
            <w:r>
              <w:rPr>
                <w:rFonts w:ascii="Times New Roman" w:hAnsi="Times New Roman"/>
                <w:sz w:val="24"/>
              </w:rPr>
              <w:t>EIB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0" w14:textId="77777777" w:rsidR="00496804" w:rsidRDefault="0037359D">
            <w:pPr>
              <w:spacing w:line="240" w:lineRule="auto"/>
              <w:ind w:left="170"/>
              <w:rPr>
                <w:rFonts w:ascii="Times New Roman" w:hAnsi="Times New Roman"/>
                <w:sz w:val="24"/>
              </w:rPr>
            </w:pPr>
            <w:r>
              <w:rPr>
                <w:rFonts w:ascii="Times New Roman" w:hAnsi="Times New Roman"/>
                <w:sz w:val="24"/>
              </w:rPr>
              <w:t>Europska investicijska banka</w:t>
            </w:r>
          </w:p>
        </w:tc>
      </w:tr>
      <w:tr w:rsidR="00496804" w14:paraId="45D05784"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2" w14:textId="77777777" w:rsidR="00496804" w:rsidRDefault="0037359D">
            <w:pPr>
              <w:spacing w:line="240" w:lineRule="auto"/>
              <w:ind w:left="170"/>
              <w:rPr>
                <w:rFonts w:ascii="Times New Roman" w:hAnsi="Times New Roman"/>
                <w:sz w:val="24"/>
              </w:rPr>
            </w:pPr>
            <w:r>
              <w:rPr>
                <w:rFonts w:ascii="Times New Roman" w:hAnsi="Times New Roman"/>
                <w:sz w:val="24"/>
              </w:rPr>
              <w:t>EIHP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3" w14:textId="77777777" w:rsidR="00496804" w:rsidRDefault="0037359D">
            <w:pPr>
              <w:spacing w:line="240" w:lineRule="auto"/>
              <w:ind w:left="170"/>
              <w:rPr>
                <w:rFonts w:ascii="Times New Roman" w:hAnsi="Times New Roman"/>
                <w:sz w:val="24"/>
              </w:rPr>
            </w:pPr>
            <w:r>
              <w:rPr>
                <w:rFonts w:ascii="Times New Roman" w:hAnsi="Times New Roman"/>
                <w:sz w:val="24"/>
              </w:rPr>
              <w:t>Energetski institut Hrvoje Požar</w:t>
            </w:r>
          </w:p>
        </w:tc>
      </w:tr>
      <w:tr w:rsidR="00496804" w14:paraId="45D05787"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5" w14:textId="77777777" w:rsidR="00496804" w:rsidRDefault="0037359D">
            <w:pPr>
              <w:spacing w:line="240" w:lineRule="auto"/>
              <w:ind w:left="170"/>
              <w:rPr>
                <w:rFonts w:ascii="Times New Roman" w:hAnsi="Times New Roman"/>
                <w:sz w:val="24"/>
              </w:rPr>
            </w:pPr>
            <w:r>
              <w:rPr>
                <w:rFonts w:ascii="Times New Roman" w:hAnsi="Times New Roman"/>
                <w:sz w:val="24"/>
              </w:rPr>
              <w:t>EK</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6" w14:textId="77777777" w:rsidR="00496804" w:rsidRDefault="0037359D">
            <w:pPr>
              <w:spacing w:line="240" w:lineRule="auto"/>
              <w:ind w:left="170"/>
              <w:rPr>
                <w:rFonts w:ascii="Times New Roman" w:hAnsi="Times New Roman"/>
                <w:sz w:val="24"/>
              </w:rPr>
            </w:pPr>
            <w:r>
              <w:rPr>
                <w:rFonts w:ascii="Times New Roman" w:hAnsi="Times New Roman"/>
                <w:sz w:val="24"/>
              </w:rPr>
              <w:t>Europska komisija</w:t>
            </w:r>
          </w:p>
        </w:tc>
      </w:tr>
      <w:tr w:rsidR="00496804" w14:paraId="45D0578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8" w14:textId="77777777" w:rsidR="00496804" w:rsidRDefault="0037359D">
            <w:pPr>
              <w:spacing w:line="240" w:lineRule="auto"/>
              <w:ind w:left="170"/>
              <w:rPr>
                <w:rFonts w:ascii="Times New Roman" w:hAnsi="Times New Roman"/>
                <w:sz w:val="24"/>
              </w:rPr>
            </w:pPr>
            <w:r>
              <w:rPr>
                <w:rFonts w:ascii="Times New Roman" w:hAnsi="Times New Roman"/>
                <w:sz w:val="24"/>
              </w:rPr>
              <w:t>ELENA</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9" w14:textId="77777777" w:rsidR="00496804" w:rsidRDefault="0037359D">
            <w:pPr>
              <w:spacing w:line="240" w:lineRule="auto"/>
              <w:ind w:left="170"/>
              <w:rPr>
                <w:rFonts w:ascii="Times New Roman" w:hAnsi="Times New Roman"/>
                <w:sz w:val="24"/>
              </w:rPr>
            </w:pPr>
            <w:r>
              <w:rPr>
                <w:rFonts w:ascii="Times New Roman" w:hAnsi="Times New Roman"/>
                <w:sz w:val="24"/>
              </w:rPr>
              <w:t>Program potpore ulaganjima u energetsku učinkovitost, inicijativa EIB-a i EK</w:t>
            </w:r>
          </w:p>
        </w:tc>
      </w:tr>
      <w:tr w:rsidR="00496804" w14:paraId="45D0578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B" w14:textId="77777777" w:rsidR="00496804" w:rsidRDefault="0037359D">
            <w:pPr>
              <w:spacing w:line="240" w:lineRule="auto"/>
              <w:ind w:left="170"/>
              <w:rPr>
                <w:rFonts w:ascii="Times New Roman" w:hAnsi="Times New Roman"/>
                <w:sz w:val="24"/>
              </w:rPr>
            </w:pPr>
            <w:r>
              <w:rPr>
                <w:rFonts w:ascii="Times New Roman" w:hAnsi="Times New Roman"/>
                <w:sz w:val="24"/>
              </w:rPr>
              <w:t>ESCO</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C" w14:textId="77777777" w:rsidR="00496804" w:rsidRDefault="0037359D">
            <w:pPr>
              <w:spacing w:line="240" w:lineRule="auto"/>
              <w:ind w:left="170"/>
              <w:rPr>
                <w:rFonts w:ascii="Times New Roman" w:hAnsi="Times New Roman"/>
                <w:sz w:val="24"/>
              </w:rPr>
            </w:pPr>
            <w:r>
              <w:rPr>
                <w:rFonts w:ascii="Times New Roman" w:hAnsi="Times New Roman"/>
                <w:sz w:val="24"/>
              </w:rPr>
              <w:t>Tvrtka za pružanje energetskih usluga (eng. Energy Service Company)</w:t>
            </w:r>
          </w:p>
        </w:tc>
      </w:tr>
      <w:tr w:rsidR="00496804" w14:paraId="45D05790"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E" w14:textId="77777777" w:rsidR="00496804" w:rsidRDefault="0037359D">
            <w:pPr>
              <w:spacing w:line="240" w:lineRule="auto"/>
              <w:ind w:left="170"/>
              <w:rPr>
                <w:rFonts w:ascii="Times New Roman" w:hAnsi="Times New Roman"/>
                <w:sz w:val="24"/>
              </w:rPr>
            </w:pPr>
            <w:r>
              <w:rPr>
                <w:rFonts w:ascii="Times New Roman" w:hAnsi="Times New Roman"/>
                <w:sz w:val="24"/>
              </w:rPr>
              <w:t>ESF+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F" w14:textId="77777777" w:rsidR="00496804" w:rsidRDefault="0037359D">
            <w:pPr>
              <w:spacing w:line="240" w:lineRule="auto"/>
              <w:ind w:left="170"/>
              <w:rPr>
                <w:rFonts w:ascii="Times New Roman" w:hAnsi="Times New Roman"/>
                <w:sz w:val="24"/>
              </w:rPr>
            </w:pPr>
            <w:r>
              <w:rPr>
                <w:rFonts w:ascii="Times New Roman" w:hAnsi="Times New Roman"/>
                <w:sz w:val="24"/>
              </w:rPr>
              <w:t>Europski socijalni fond Plus</w:t>
            </w:r>
          </w:p>
        </w:tc>
      </w:tr>
      <w:tr w:rsidR="00496804" w14:paraId="45D05793"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1" w14:textId="77777777" w:rsidR="00496804" w:rsidRDefault="0037359D">
            <w:pPr>
              <w:spacing w:line="240" w:lineRule="auto"/>
              <w:ind w:left="170"/>
              <w:rPr>
                <w:rFonts w:ascii="Times New Roman" w:hAnsi="Times New Roman"/>
                <w:sz w:val="24"/>
              </w:rPr>
            </w:pPr>
            <w:r>
              <w:rPr>
                <w:rFonts w:ascii="Times New Roman" w:hAnsi="Times New Roman"/>
                <w:sz w:val="24"/>
              </w:rPr>
              <w:t>ESIF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2" w14:textId="77777777" w:rsidR="00496804" w:rsidRDefault="0037359D">
            <w:pPr>
              <w:spacing w:line="240" w:lineRule="auto"/>
              <w:ind w:left="170"/>
              <w:rPr>
                <w:rFonts w:ascii="Times New Roman" w:hAnsi="Times New Roman"/>
                <w:sz w:val="24"/>
              </w:rPr>
            </w:pPr>
            <w:r>
              <w:rPr>
                <w:rFonts w:ascii="Times New Roman" w:hAnsi="Times New Roman"/>
                <w:sz w:val="24"/>
              </w:rPr>
              <w:t>Europski strukturni i investicijski fondovi</w:t>
            </w:r>
          </w:p>
        </w:tc>
      </w:tr>
      <w:tr w:rsidR="00496804" w14:paraId="45D05796"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4" w14:textId="77777777" w:rsidR="00496804" w:rsidRDefault="0037359D">
            <w:pPr>
              <w:spacing w:line="240" w:lineRule="auto"/>
              <w:ind w:left="170"/>
              <w:rPr>
                <w:rFonts w:ascii="Times New Roman" w:hAnsi="Times New Roman"/>
                <w:sz w:val="24"/>
              </w:rPr>
            </w:pPr>
            <w:r>
              <w:rPr>
                <w:rFonts w:ascii="Times New Roman" w:hAnsi="Times New Roman"/>
                <w:sz w:val="24"/>
              </w:rPr>
              <w:t>EU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5" w14:textId="77777777" w:rsidR="00496804" w:rsidRDefault="0037359D">
            <w:pPr>
              <w:spacing w:line="240" w:lineRule="auto"/>
              <w:ind w:left="170"/>
              <w:rPr>
                <w:rFonts w:ascii="Times New Roman" w:hAnsi="Times New Roman"/>
                <w:sz w:val="24"/>
              </w:rPr>
            </w:pPr>
            <w:r>
              <w:rPr>
                <w:rFonts w:ascii="Times New Roman" w:hAnsi="Times New Roman"/>
                <w:sz w:val="24"/>
              </w:rPr>
              <w:t>Europska unija</w:t>
            </w:r>
          </w:p>
        </w:tc>
      </w:tr>
      <w:tr w:rsidR="00496804" w14:paraId="45D0579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7" w14:textId="77777777" w:rsidR="00496804" w:rsidRDefault="0037359D">
            <w:pPr>
              <w:spacing w:line="240" w:lineRule="auto"/>
              <w:ind w:left="170"/>
              <w:rPr>
                <w:rFonts w:ascii="Times New Roman" w:hAnsi="Times New Roman"/>
                <w:sz w:val="24"/>
              </w:rPr>
            </w:pPr>
            <w:r>
              <w:rPr>
                <w:rFonts w:ascii="Times New Roman" w:hAnsi="Times New Roman"/>
                <w:sz w:val="24"/>
              </w:rPr>
              <w:t>EUROSTAT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8" w14:textId="77777777" w:rsidR="00496804" w:rsidRDefault="0037359D">
            <w:pPr>
              <w:spacing w:line="240" w:lineRule="auto"/>
              <w:ind w:left="170"/>
              <w:rPr>
                <w:rFonts w:ascii="Times New Roman" w:hAnsi="Times New Roman"/>
                <w:sz w:val="24"/>
              </w:rPr>
            </w:pPr>
            <w:r>
              <w:rPr>
                <w:rFonts w:ascii="Times New Roman" w:hAnsi="Times New Roman"/>
                <w:sz w:val="24"/>
              </w:rPr>
              <w:t>Statistički ured Europske unije</w:t>
            </w:r>
          </w:p>
        </w:tc>
      </w:tr>
      <w:tr w:rsidR="00496804" w14:paraId="45D0579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A" w14:textId="77777777" w:rsidR="00496804" w:rsidRDefault="0037359D">
            <w:pPr>
              <w:spacing w:line="240" w:lineRule="auto"/>
              <w:ind w:left="170"/>
              <w:rPr>
                <w:rFonts w:ascii="Times New Roman" w:hAnsi="Times New Roman"/>
                <w:sz w:val="24"/>
              </w:rPr>
            </w:pPr>
            <w:r>
              <w:rPr>
                <w:rFonts w:ascii="Times New Roman" w:hAnsi="Times New Roman"/>
                <w:sz w:val="24"/>
              </w:rPr>
              <w:t>EZP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B" w14:textId="77777777" w:rsidR="00496804" w:rsidRDefault="0037359D">
            <w:pPr>
              <w:spacing w:line="240" w:lineRule="auto"/>
              <w:ind w:left="170"/>
              <w:rPr>
                <w:rFonts w:ascii="Times New Roman" w:hAnsi="Times New Roman"/>
                <w:sz w:val="24"/>
              </w:rPr>
            </w:pPr>
            <w:r>
              <w:rPr>
                <w:rFonts w:ascii="Times New Roman" w:hAnsi="Times New Roman"/>
                <w:sz w:val="24"/>
              </w:rPr>
              <w:t>Europski zeleni plan</w:t>
            </w:r>
          </w:p>
        </w:tc>
      </w:tr>
      <w:tr w:rsidR="00496804" w14:paraId="45D0579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D" w14:textId="77777777" w:rsidR="00496804" w:rsidRDefault="0037359D">
            <w:pPr>
              <w:spacing w:line="240" w:lineRule="auto"/>
              <w:ind w:left="170"/>
              <w:rPr>
                <w:rFonts w:ascii="Times New Roman" w:hAnsi="Times New Roman"/>
                <w:sz w:val="24"/>
              </w:rPr>
            </w:pPr>
            <w:r>
              <w:rPr>
                <w:rFonts w:ascii="Times New Roman" w:hAnsi="Times New Roman"/>
                <w:sz w:val="24"/>
              </w:rPr>
              <w:t>HAOP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E" w14:textId="77777777" w:rsidR="00496804" w:rsidRDefault="0037359D">
            <w:pPr>
              <w:spacing w:line="240" w:lineRule="auto"/>
              <w:ind w:left="170"/>
              <w:rPr>
                <w:rFonts w:ascii="Times New Roman" w:hAnsi="Times New Roman"/>
                <w:sz w:val="24"/>
              </w:rPr>
            </w:pPr>
            <w:r>
              <w:rPr>
                <w:rFonts w:ascii="Times New Roman" w:hAnsi="Times New Roman"/>
                <w:sz w:val="24"/>
              </w:rPr>
              <w:t>Hrvatska agencija za okoliš i prirodu</w:t>
            </w:r>
          </w:p>
        </w:tc>
      </w:tr>
      <w:tr w:rsidR="00496804" w14:paraId="45D057A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0" w14:textId="77777777" w:rsidR="00496804" w:rsidRDefault="0037359D">
            <w:pPr>
              <w:spacing w:line="240" w:lineRule="auto"/>
              <w:ind w:left="170"/>
              <w:rPr>
                <w:rFonts w:ascii="Times New Roman" w:hAnsi="Times New Roman"/>
                <w:sz w:val="24"/>
              </w:rPr>
            </w:pPr>
            <w:r>
              <w:rPr>
                <w:rFonts w:ascii="Times New Roman" w:hAnsi="Times New Roman"/>
                <w:sz w:val="24"/>
              </w:rPr>
              <w:t>HBOR</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1"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Hrvatska banka za obnovu i razvitak </w:t>
            </w:r>
          </w:p>
        </w:tc>
      </w:tr>
      <w:tr w:rsidR="00496804" w14:paraId="45D057A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3" w14:textId="77777777" w:rsidR="00496804" w:rsidRDefault="0037359D">
            <w:pPr>
              <w:spacing w:line="240" w:lineRule="auto"/>
              <w:ind w:left="170"/>
              <w:rPr>
                <w:rFonts w:ascii="Times New Roman" w:hAnsi="Times New Roman"/>
                <w:sz w:val="24"/>
              </w:rPr>
            </w:pPr>
            <w:r>
              <w:rPr>
                <w:rFonts w:ascii="Times New Roman" w:hAnsi="Times New Roman"/>
                <w:sz w:val="24"/>
              </w:rPr>
              <w:t>HORIZON 2020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4" w14:textId="77777777" w:rsidR="00496804" w:rsidRDefault="0037359D">
            <w:pPr>
              <w:spacing w:line="240" w:lineRule="auto"/>
              <w:ind w:left="170"/>
              <w:rPr>
                <w:rFonts w:ascii="Times New Roman" w:hAnsi="Times New Roman"/>
                <w:sz w:val="24"/>
              </w:rPr>
            </w:pPr>
            <w:r>
              <w:rPr>
                <w:rFonts w:ascii="Times New Roman" w:hAnsi="Times New Roman"/>
                <w:sz w:val="24"/>
              </w:rPr>
              <w:t>Program EU za istraživanje i inovacije 2014.-2020.</w:t>
            </w:r>
          </w:p>
        </w:tc>
      </w:tr>
      <w:tr w:rsidR="00496804" w14:paraId="45D057A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6" w14:textId="77777777" w:rsidR="00496804" w:rsidRDefault="0037359D">
            <w:pPr>
              <w:spacing w:line="240" w:lineRule="auto"/>
              <w:ind w:left="170"/>
              <w:rPr>
                <w:rFonts w:ascii="Times New Roman" w:hAnsi="Times New Roman"/>
                <w:sz w:val="24"/>
              </w:rPr>
            </w:pPr>
            <w:r>
              <w:rPr>
                <w:rFonts w:ascii="Times New Roman" w:hAnsi="Times New Roman"/>
                <w:sz w:val="24"/>
              </w:rPr>
              <w:t>ISPU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7" w14:textId="77777777" w:rsidR="00496804" w:rsidRDefault="0037359D">
            <w:pPr>
              <w:spacing w:line="240" w:lineRule="auto"/>
              <w:ind w:left="170"/>
              <w:rPr>
                <w:rFonts w:ascii="Times New Roman" w:hAnsi="Times New Roman"/>
                <w:sz w:val="24"/>
              </w:rPr>
            </w:pPr>
            <w:r>
              <w:rPr>
                <w:rFonts w:ascii="Times New Roman" w:hAnsi="Times New Roman"/>
                <w:sz w:val="24"/>
              </w:rPr>
              <w:t>Informacijski sustav prostornog uređenja</w:t>
            </w:r>
          </w:p>
        </w:tc>
      </w:tr>
      <w:tr w:rsidR="00496804" w14:paraId="45D057A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9" w14:textId="77777777" w:rsidR="00496804" w:rsidRDefault="0037359D">
            <w:pPr>
              <w:spacing w:line="240" w:lineRule="auto"/>
              <w:ind w:left="170"/>
              <w:rPr>
                <w:rFonts w:ascii="Times New Roman" w:hAnsi="Times New Roman"/>
                <w:sz w:val="24"/>
              </w:rPr>
            </w:pPr>
            <w:r>
              <w:rPr>
                <w:rFonts w:ascii="Times New Roman" w:hAnsi="Times New Roman"/>
                <w:sz w:val="24"/>
              </w:rPr>
              <w:t>JLS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A" w14:textId="77777777" w:rsidR="00496804" w:rsidRDefault="0037359D">
            <w:pPr>
              <w:spacing w:line="240" w:lineRule="auto"/>
              <w:ind w:left="170"/>
              <w:rPr>
                <w:rFonts w:ascii="Times New Roman" w:hAnsi="Times New Roman"/>
                <w:sz w:val="24"/>
              </w:rPr>
            </w:pPr>
            <w:r>
              <w:rPr>
                <w:rFonts w:ascii="Times New Roman" w:hAnsi="Times New Roman"/>
                <w:sz w:val="24"/>
              </w:rPr>
              <w:t>Jedinice lokalne samouprave</w:t>
            </w:r>
          </w:p>
        </w:tc>
      </w:tr>
      <w:tr w:rsidR="00496804" w14:paraId="45D057AE"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C" w14:textId="77777777" w:rsidR="00496804" w:rsidRDefault="0037359D">
            <w:pPr>
              <w:spacing w:line="240" w:lineRule="auto"/>
              <w:ind w:left="170"/>
              <w:rPr>
                <w:rFonts w:ascii="Times New Roman" w:hAnsi="Times New Roman"/>
                <w:sz w:val="24"/>
              </w:rPr>
            </w:pPr>
            <w:r>
              <w:rPr>
                <w:rFonts w:ascii="Times New Roman" w:hAnsi="Times New Roman"/>
                <w:sz w:val="24"/>
              </w:rPr>
              <w:t>JLP(R)S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D" w14:textId="77777777" w:rsidR="00496804" w:rsidRDefault="0037359D">
            <w:pPr>
              <w:spacing w:line="240" w:lineRule="auto"/>
              <w:ind w:left="170"/>
              <w:rPr>
                <w:rFonts w:ascii="Times New Roman" w:hAnsi="Times New Roman"/>
                <w:sz w:val="24"/>
              </w:rPr>
            </w:pPr>
            <w:r>
              <w:rPr>
                <w:rFonts w:ascii="Times New Roman" w:hAnsi="Times New Roman"/>
                <w:sz w:val="24"/>
              </w:rPr>
              <w:t>Jedinice lokalne i područne (regionalne) samouprave</w:t>
            </w:r>
          </w:p>
        </w:tc>
      </w:tr>
      <w:tr w:rsidR="00496804" w14:paraId="45D057B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F" w14:textId="77777777" w:rsidR="00496804" w:rsidRDefault="0037359D">
            <w:pPr>
              <w:spacing w:line="240" w:lineRule="auto"/>
              <w:ind w:left="170"/>
              <w:rPr>
                <w:rFonts w:ascii="Times New Roman" w:hAnsi="Times New Roman"/>
                <w:sz w:val="24"/>
              </w:rPr>
            </w:pPr>
            <w:r>
              <w:rPr>
                <w:rFonts w:ascii="Times New Roman" w:hAnsi="Times New Roman"/>
                <w:sz w:val="24"/>
              </w:rPr>
              <w:t>KF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0" w14:textId="77777777" w:rsidR="00496804" w:rsidRDefault="0037359D">
            <w:pPr>
              <w:spacing w:line="240" w:lineRule="auto"/>
              <w:ind w:left="170"/>
              <w:rPr>
                <w:rFonts w:ascii="Times New Roman" w:hAnsi="Times New Roman"/>
                <w:sz w:val="24"/>
              </w:rPr>
            </w:pPr>
            <w:r>
              <w:rPr>
                <w:rFonts w:ascii="Times New Roman" w:hAnsi="Times New Roman"/>
                <w:sz w:val="24"/>
              </w:rPr>
              <w:t>Kohezijski fond</w:t>
            </w:r>
          </w:p>
        </w:tc>
      </w:tr>
      <w:tr w:rsidR="00496804" w14:paraId="45D057B4"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2" w14:textId="77777777" w:rsidR="00496804" w:rsidRDefault="0037359D">
            <w:pPr>
              <w:spacing w:line="240" w:lineRule="auto"/>
              <w:ind w:left="170"/>
              <w:rPr>
                <w:rFonts w:ascii="Times New Roman" w:hAnsi="Times New Roman"/>
                <w:sz w:val="24"/>
              </w:rPr>
            </w:pPr>
            <w:r>
              <w:rPr>
                <w:rFonts w:ascii="Times New Roman" w:hAnsi="Times New Roman"/>
                <w:sz w:val="24"/>
              </w:rPr>
              <w:t>LCCA</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3"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Analiza troškova životnog ciklusa proizvoda (eng. Life Cycle Costing Analysis) </w:t>
            </w:r>
          </w:p>
        </w:tc>
      </w:tr>
      <w:tr w:rsidR="00496804" w14:paraId="45D057B7"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5" w14:textId="77777777" w:rsidR="00496804" w:rsidRDefault="0037359D">
            <w:pPr>
              <w:spacing w:line="240" w:lineRule="auto"/>
              <w:ind w:left="170"/>
              <w:rPr>
                <w:rFonts w:ascii="Times New Roman" w:hAnsi="Times New Roman"/>
                <w:sz w:val="24"/>
              </w:rPr>
            </w:pPr>
            <w:r>
              <w:rPr>
                <w:rFonts w:ascii="Times New Roman" w:hAnsi="Times New Roman"/>
                <w:sz w:val="24"/>
              </w:rPr>
              <w:t>LEVEL(S)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6" w14:textId="77777777" w:rsidR="00496804" w:rsidRDefault="0037359D">
            <w:pPr>
              <w:spacing w:line="240" w:lineRule="auto"/>
              <w:ind w:left="170"/>
              <w:rPr>
                <w:rFonts w:ascii="Times New Roman" w:hAnsi="Times New Roman"/>
                <w:sz w:val="24"/>
              </w:rPr>
            </w:pPr>
            <w:r>
              <w:rPr>
                <w:rFonts w:ascii="Times New Roman" w:hAnsi="Times New Roman"/>
                <w:sz w:val="24"/>
              </w:rPr>
              <w:t>Alat za procjenu i izvještavanje o aspektima održivosti građevina tijekom njihovog cjeloživotnog vijeka</w:t>
            </w:r>
          </w:p>
        </w:tc>
      </w:tr>
      <w:tr w:rsidR="00496804" w14:paraId="45D057B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8" w14:textId="77777777" w:rsidR="00496804" w:rsidRDefault="0037359D">
            <w:pPr>
              <w:spacing w:line="240" w:lineRule="auto"/>
              <w:ind w:left="170"/>
              <w:rPr>
                <w:rFonts w:ascii="Times New Roman" w:hAnsi="Times New Roman"/>
                <w:sz w:val="24"/>
              </w:rPr>
            </w:pPr>
            <w:r>
              <w:rPr>
                <w:rFonts w:ascii="Times New Roman" w:hAnsi="Times New Roman"/>
                <w:sz w:val="24"/>
              </w:rPr>
              <w:t>LIFE+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9" w14:textId="77777777" w:rsidR="00496804" w:rsidRDefault="0037359D">
            <w:pPr>
              <w:spacing w:line="240" w:lineRule="auto"/>
              <w:ind w:left="170"/>
              <w:rPr>
                <w:rFonts w:ascii="Times New Roman" w:hAnsi="Times New Roman"/>
                <w:sz w:val="24"/>
              </w:rPr>
            </w:pPr>
            <w:r>
              <w:rPr>
                <w:rFonts w:ascii="Times New Roman" w:hAnsi="Times New Roman"/>
                <w:sz w:val="24"/>
              </w:rPr>
              <w:t>Financijski instrument EU za okoliš</w:t>
            </w:r>
          </w:p>
        </w:tc>
      </w:tr>
      <w:tr w:rsidR="00496804" w14:paraId="45D057B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B" w14:textId="77777777" w:rsidR="00496804" w:rsidRDefault="0037359D">
            <w:pPr>
              <w:spacing w:line="240" w:lineRule="auto"/>
              <w:ind w:left="170"/>
              <w:rPr>
                <w:rFonts w:ascii="Times New Roman" w:hAnsi="Times New Roman"/>
                <w:sz w:val="24"/>
              </w:rPr>
            </w:pPr>
            <w:r>
              <w:rPr>
                <w:rFonts w:ascii="Times New Roman" w:hAnsi="Times New Roman"/>
                <w:sz w:val="24"/>
              </w:rPr>
              <w:t>MPGI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C" w14:textId="77777777" w:rsidR="00496804" w:rsidRDefault="0037359D">
            <w:pPr>
              <w:spacing w:line="240" w:lineRule="auto"/>
              <w:ind w:left="170"/>
              <w:rPr>
                <w:rFonts w:ascii="Times New Roman" w:hAnsi="Times New Roman"/>
                <w:sz w:val="24"/>
              </w:rPr>
            </w:pPr>
            <w:r>
              <w:rPr>
                <w:rFonts w:ascii="Times New Roman" w:hAnsi="Times New Roman"/>
                <w:sz w:val="24"/>
              </w:rPr>
              <w:t>Ministarstvo prostornoga uređenja, graditeljstva i državne imovine</w:t>
            </w:r>
          </w:p>
        </w:tc>
      </w:tr>
      <w:tr w:rsidR="00496804" w14:paraId="45D057C0"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E" w14:textId="77777777" w:rsidR="00496804" w:rsidRDefault="0037359D">
            <w:pPr>
              <w:spacing w:line="240" w:lineRule="auto"/>
              <w:ind w:left="170"/>
              <w:rPr>
                <w:rFonts w:ascii="Times New Roman" w:hAnsi="Times New Roman"/>
                <w:sz w:val="24"/>
              </w:rPr>
            </w:pPr>
            <w:r>
              <w:rPr>
                <w:rFonts w:ascii="Times New Roman" w:hAnsi="Times New Roman"/>
                <w:sz w:val="24"/>
              </w:rPr>
              <w:t>NBS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F" w14:textId="77777777" w:rsidR="00496804" w:rsidRDefault="0037359D">
            <w:pPr>
              <w:spacing w:line="240" w:lineRule="auto"/>
              <w:ind w:left="170"/>
              <w:rPr>
                <w:rFonts w:ascii="Times New Roman" w:hAnsi="Times New Roman"/>
                <w:sz w:val="24"/>
              </w:rPr>
            </w:pPr>
            <w:r>
              <w:rPr>
                <w:rFonts w:ascii="Times New Roman" w:hAnsi="Times New Roman"/>
                <w:sz w:val="24"/>
              </w:rPr>
              <w:t>Primjena rješenja temeljenih na prirodi</w:t>
            </w:r>
          </w:p>
        </w:tc>
      </w:tr>
      <w:tr w:rsidR="00496804" w14:paraId="45D057C3"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1" w14:textId="77777777" w:rsidR="00496804" w:rsidRDefault="0037359D">
            <w:pPr>
              <w:spacing w:line="240" w:lineRule="auto"/>
              <w:ind w:left="170"/>
              <w:rPr>
                <w:rFonts w:ascii="Times New Roman" w:hAnsi="Times New Roman"/>
                <w:sz w:val="24"/>
              </w:rPr>
            </w:pPr>
            <w:r>
              <w:rPr>
                <w:rFonts w:ascii="Times New Roman" w:hAnsi="Times New Roman"/>
                <w:sz w:val="24"/>
              </w:rPr>
              <w:t>NN</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2" w14:textId="77777777" w:rsidR="00496804" w:rsidRDefault="0037359D">
            <w:pPr>
              <w:spacing w:line="240" w:lineRule="auto"/>
              <w:ind w:left="170"/>
              <w:rPr>
                <w:rFonts w:ascii="Times New Roman" w:hAnsi="Times New Roman"/>
                <w:sz w:val="24"/>
              </w:rPr>
            </w:pPr>
            <w:r>
              <w:rPr>
                <w:rFonts w:ascii="Times New Roman" w:hAnsi="Times New Roman"/>
                <w:sz w:val="24"/>
              </w:rPr>
              <w:t>Narodne novine</w:t>
            </w:r>
          </w:p>
        </w:tc>
      </w:tr>
      <w:tr w:rsidR="00496804" w14:paraId="45D057C6" w14:textId="77777777">
        <w:trPr>
          <w:cantSplit/>
          <w:trHeight w:hRule="exact" w:val="343"/>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4" w14:textId="77777777" w:rsidR="00496804" w:rsidRDefault="0037359D">
            <w:pPr>
              <w:spacing w:line="240" w:lineRule="auto"/>
              <w:ind w:left="170"/>
              <w:jc w:val="left"/>
              <w:rPr>
                <w:rFonts w:ascii="Times New Roman" w:hAnsi="Times New Roman"/>
                <w:sz w:val="24"/>
              </w:rPr>
            </w:pPr>
            <w:r>
              <w:rPr>
                <w:rFonts w:ascii="Times New Roman" w:hAnsi="Times New Roman"/>
                <w:sz w:val="24"/>
              </w:rPr>
              <w:t xml:space="preserve">NRS 2030 </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5" w14:textId="77777777" w:rsidR="00496804" w:rsidRDefault="0037359D">
            <w:pPr>
              <w:spacing w:line="240" w:lineRule="auto"/>
              <w:ind w:left="170"/>
              <w:rPr>
                <w:rFonts w:ascii="Times New Roman" w:hAnsi="Times New Roman"/>
                <w:sz w:val="24"/>
              </w:rPr>
            </w:pPr>
            <w:r>
              <w:rPr>
                <w:rFonts w:ascii="Times New Roman" w:hAnsi="Times New Roman"/>
                <w:sz w:val="24"/>
              </w:rPr>
              <w:t>Nacionalna razvojna strategija Republike Hrvatske do 2030. godine</w:t>
            </w:r>
          </w:p>
        </w:tc>
      </w:tr>
      <w:tr w:rsidR="00496804" w14:paraId="45D057C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7" w14:textId="77777777" w:rsidR="00496804" w:rsidRDefault="0037359D">
            <w:pPr>
              <w:spacing w:line="240" w:lineRule="auto"/>
              <w:ind w:left="170"/>
              <w:rPr>
                <w:rFonts w:ascii="Times New Roman" w:hAnsi="Times New Roman"/>
                <w:sz w:val="24"/>
              </w:rPr>
            </w:pPr>
            <w:r>
              <w:rPr>
                <w:rFonts w:ascii="Times New Roman" w:hAnsi="Times New Roman"/>
                <w:sz w:val="24"/>
              </w:rPr>
              <w:t>nZEB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8" w14:textId="77777777" w:rsidR="00496804" w:rsidRDefault="0037359D">
            <w:pPr>
              <w:spacing w:line="240" w:lineRule="auto"/>
              <w:ind w:left="170"/>
              <w:rPr>
                <w:rFonts w:ascii="Times New Roman" w:hAnsi="Times New Roman"/>
                <w:sz w:val="24"/>
              </w:rPr>
            </w:pPr>
            <w:r>
              <w:rPr>
                <w:rFonts w:ascii="Times New Roman" w:hAnsi="Times New Roman"/>
                <w:sz w:val="24"/>
              </w:rPr>
              <w:t>Zgrada gotovo nulte potrošnje energije</w:t>
            </w:r>
          </w:p>
        </w:tc>
      </w:tr>
      <w:tr w:rsidR="00496804" w14:paraId="45D057C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A" w14:textId="77777777" w:rsidR="00496804" w:rsidRDefault="0037359D">
            <w:pPr>
              <w:spacing w:line="240" w:lineRule="auto"/>
              <w:ind w:left="170"/>
              <w:rPr>
                <w:rFonts w:ascii="Times New Roman" w:hAnsi="Times New Roman"/>
                <w:sz w:val="24"/>
              </w:rPr>
            </w:pPr>
            <w:r>
              <w:rPr>
                <w:rFonts w:ascii="Times New Roman" w:hAnsi="Times New Roman"/>
                <w:sz w:val="24"/>
              </w:rPr>
              <w:t>OIE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B" w14:textId="77777777" w:rsidR="00496804" w:rsidRDefault="0037359D">
            <w:pPr>
              <w:spacing w:line="240" w:lineRule="auto"/>
              <w:ind w:left="170"/>
              <w:rPr>
                <w:rFonts w:ascii="Times New Roman" w:hAnsi="Times New Roman"/>
                <w:sz w:val="24"/>
              </w:rPr>
            </w:pPr>
            <w:r>
              <w:rPr>
                <w:rFonts w:ascii="Times New Roman" w:hAnsi="Times New Roman"/>
                <w:sz w:val="24"/>
              </w:rPr>
              <w:t>Obnovljivi izvori energije</w:t>
            </w:r>
          </w:p>
        </w:tc>
      </w:tr>
      <w:tr w:rsidR="00496804" w14:paraId="45D057C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D" w14:textId="77777777" w:rsidR="00496804" w:rsidRDefault="0037359D">
            <w:pPr>
              <w:spacing w:line="240" w:lineRule="auto"/>
              <w:ind w:left="170"/>
              <w:rPr>
                <w:rFonts w:ascii="Times New Roman" w:hAnsi="Times New Roman"/>
                <w:sz w:val="24"/>
              </w:rPr>
            </w:pPr>
            <w:r>
              <w:rPr>
                <w:rFonts w:ascii="Times New Roman" w:hAnsi="Times New Roman"/>
                <w:sz w:val="24"/>
              </w:rPr>
              <w:t>POS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E" w14:textId="77777777" w:rsidR="00496804" w:rsidRDefault="0037359D">
            <w:pPr>
              <w:spacing w:line="240" w:lineRule="auto"/>
              <w:ind w:left="170"/>
              <w:rPr>
                <w:rFonts w:ascii="Times New Roman" w:hAnsi="Times New Roman"/>
                <w:sz w:val="24"/>
              </w:rPr>
            </w:pPr>
            <w:r>
              <w:rPr>
                <w:rFonts w:ascii="Times New Roman" w:hAnsi="Times New Roman"/>
                <w:sz w:val="24"/>
              </w:rPr>
              <w:t>Program društveno poticane stanogradnje</w:t>
            </w:r>
          </w:p>
        </w:tc>
      </w:tr>
      <w:tr w:rsidR="00496804" w14:paraId="45D057D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0" w14:textId="77777777" w:rsidR="00496804" w:rsidRDefault="0037359D">
            <w:pPr>
              <w:spacing w:line="240" w:lineRule="auto"/>
              <w:ind w:left="170"/>
              <w:rPr>
                <w:rFonts w:ascii="Times New Roman" w:hAnsi="Times New Roman"/>
                <w:sz w:val="24"/>
              </w:rPr>
            </w:pPr>
            <w:r>
              <w:rPr>
                <w:rFonts w:ascii="Times New Roman" w:hAnsi="Times New Roman"/>
                <w:sz w:val="24"/>
              </w:rPr>
              <w:t>PF4EE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1" w14:textId="77777777" w:rsidR="00496804" w:rsidRDefault="0037359D">
            <w:pPr>
              <w:spacing w:line="240" w:lineRule="auto"/>
              <w:ind w:left="170"/>
              <w:rPr>
                <w:rFonts w:ascii="Times New Roman" w:hAnsi="Times New Roman"/>
                <w:sz w:val="24"/>
              </w:rPr>
            </w:pPr>
            <w:r>
              <w:rPr>
                <w:rFonts w:ascii="Times New Roman" w:hAnsi="Times New Roman"/>
                <w:sz w:val="24"/>
              </w:rPr>
              <w:t>Privatni instrument energetske učinkovitosti</w:t>
            </w:r>
          </w:p>
        </w:tc>
      </w:tr>
      <w:tr w:rsidR="00496804" w14:paraId="45D057D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3" w14:textId="77777777" w:rsidR="00496804" w:rsidRDefault="0037359D">
            <w:pPr>
              <w:spacing w:line="240" w:lineRule="auto"/>
              <w:ind w:left="170"/>
              <w:rPr>
                <w:rFonts w:ascii="Times New Roman" w:hAnsi="Times New Roman"/>
                <w:sz w:val="24"/>
              </w:rPr>
            </w:pPr>
            <w:r>
              <w:rPr>
                <w:rFonts w:ascii="Times New Roman" w:hAnsi="Times New Roman"/>
                <w:sz w:val="24"/>
              </w:rPr>
              <w:lastRenderedPageBreak/>
              <w:t>RH</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4" w14:textId="77777777" w:rsidR="00496804" w:rsidRDefault="0037359D">
            <w:pPr>
              <w:spacing w:line="240" w:lineRule="auto"/>
              <w:ind w:left="170"/>
              <w:rPr>
                <w:rFonts w:ascii="Times New Roman" w:hAnsi="Times New Roman"/>
                <w:sz w:val="24"/>
              </w:rPr>
            </w:pPr>
            <w:r>
              <w:rPr>
                <w:rFonts w:ascii="Times New Roman" w:hAnsi="Times New Roman"/>
                <w:sz w:val="24"/>
              </w:rPr>
              <w:t>Republika Hrvatska</w:t>
            </w:r>
          </w:p>
        </w:tc>
      </w:tr>
      <w:tr w:rsidR="00496804" w14:paraId="45D057D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6" w14:textId="77777777" w:rsidR="00496804" w:rsidRDefault="0037359D">
            <w:pPr>
              <w:spacing w:line="240" w:lineRule="auto"/>
              <w:ind w:left="170"/>
              <w:rPr>
                <w:rFonts w:ascii="Times New Roman" w:hAnsi="Times New Roman"/>
                <w:sz w:val="24"/>
              </w:rPr>
            </w:pPr>
            <w:r>
              <w:rPr>
                <w:rFonts w:ascii="Times New Roman" w:hAnsi="Times New Roman"/>
                <w:sz w:val="24"/>
              </w:rPr>
              <w:t>ROO</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7" w14:textId="77777777" w:rsidR="00496804" w:rsidRDefault="0037359D">
            <w:pPr>
              <w:spacing w:line="240" w:lineRule="auto"/>
              <w:ind w:left="170"/>
              <w:rPr>
                <w:rFonts w:ascii="Times New Roman" w:hAnsi="Times New Roman"/>
                <w:sz w:val="24"/>
              </w:rPr>
            </w:pPr>
            <w:r>
              <w:rPr>
                <w:rFonts w:ascii="Times New Roman" w:hAnsi="Times New Roman"/>
                <w:sz w:val="24"/>
              </w:rPr>
              <w:t>Registar onečišćavanja okoliša</w:t>
            </w:r>
          </w:p>
        </w:tc>
      </w:tr>
      <w:tr w:rsidR="00496804" w14:paraId="45D057D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9" w14:textId="77777777" w:rsidR="00496804" w:rsidRDefault="0037359D">
            <w:pPr>
              <w:spacing w:line="240" w:lineRule="auto"/>
              <w:ind w:left="170"/>
              <w:rPr>
                <w:rFonts w:ascii="Times New Roman" w:hAnsi="Times New Roman"/>
                <w:sz w:val="24"/>
              </w:rPr>
            </w:pPr>
            <w:r>
              <w:rPr>
                <w:rFonts w:ascii="Times New Roman" w:hAnsi="Times New Roman"/>
                <w:sz w:val="24"/>
              </w:rPr>
              <w:t>SPRRH</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A" w14:textId="77777777" w:rsidR="00496804" w:rsidRDefault="0037359D">
            <w:pPr>
              <w:spacing w:line="240" w:lineRule="auto"/>
              <w:ind w:left="170"/>
              <w:rPr>
                <w:rFonts w:ascii="Times New Roman" w:hAnsi="Times New Roman"/>
                <w:sz w:val="24"/>
              </w:rPr>
            </w:pPr>
            <w:r>
              <w:rPr>
                <w:rFonts w:ascii="Times New Roman" w:hAnsi="Times New Roman"/>
                <w:sz w:val="24"/>
              </w:rPr>
              <w:t>Strategija prostornog razvoja Republike Hrvatske</w:t>
            </w:r>
          </w:p>
        </w:tc>
      </w:tr>
      <w:tr w:rsidR="00496804" w14:paraId="45D057DE"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C" w14:textId="77777777" w:rsidR="00496804" w:rsidRDefault="0037359D">
            <w:pPr>
              <w:spacing w:line="240" w:lineRule="auto"/>
              <w:ind w:left="170"/>
              <w:rPr>
                <w:rFonts w:ascii="Times New Roman" w:hAnsi="Times New Roman"/>
                <w:sz w:val="24"/>
              </w:rPr>
            </w:pPr>
            <w:r>
              <w:rPr>
                <w:rFonts w:ascii="Times New Roman" w:hAnsi="Times New Roman"/>
                <w:sz w:val="24"/>
              </w:rPr>
              <w:t>SWOT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D" w14:textId="77777777" w:rsidR="00496804" w:rsidRDefault="0037359D">
            <w:pPr>
              <w:spacing w:line="240" w:lineRule="auto"/>
              <w:ind w:left="170"/>
              <w:jc w:val="left"/>
              <w:rPr>
                <w:rFonts w:ascii="Times New Roman" w:hAnsi="Times New Roman"/>
                <w:sz w:val="24"/>
              </w:rPr>
            </w:pPr>
            <w:r>
              <w:rPr>
                <w:rFonts w:ascii="Times New Roman" w:hAnsi="Times New Roman"/>
                <w:sz w:val="24"/>
              </w:rPr>
              <w:t xml:space="preserve">Analiza snaga, slabosti, prilika i prijetnji (eng. </w:t>
            </w:r>
            <w:r w:rsidRPr="00655CD0">
              <w:rPr>
                <w:rFonts w:ascii="Times New Roman" w:hAnsi="Times New Roman"/>
                <w:sz w:val="24"/>
                <w:lang w:val="en-GB"/>
              </w:rPr>
              <w:t>strengths, weaknesses, opportunities and threats Analysis</w:t>
            </w:r>
            <w:r>
              <w:rPr>
                <w:rFonts w:ascii="Times New Roman" w:hAnsi="Times New Roman"/>
                <w:sz w:val="24"/>
              </w:rPr>
              <w:t>)</w:t>
            </w:r>
          </w:p>
        </w:tc>
      </w:tr>
      <w:tr w:rsidR="00496804" w14:paraId="45D057E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F" w14:textId="77777777" w:rsidR="00496804" w:rsidRDefault="0037359D">
            <w:pPr>
              <w:spacing w:line="240" w:lineRule="auto"/>
              <w:ind w:left="170"/>
              <w:rPr>
                <w:rFonts w:ascii="Times New Roman" w:hAnsi="Times New Roman"/>
                <w:sz w:val="24"/>
              </w:rPr>
            </w:pPr>
            <w:r>
              <w:rPr>
                <w:rFonts w:ascii="Times New Roman" w:hAnsi="Times New Roman"/>
                <w:sz w:val="24"/>
              </w:rPr>
              <w:t>TA 2020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0" w14:textId="77777777" w:rsidR="00496804" w:rsidRDefault="0037359D">
            <w:pPr>
              <w:spacing w:line="240" w:lineRule="auto"/>
              <w:ind w:left="170"/>
              <w:rPr>
                <w:rFonts w:ascii="Times New Roman" w:hAnsi="Times New Roman"/>
                <w:sz w:val="24"/>
              </w:rPr>
            </w:pPr>
            <w:r>
              <w:rPr>
                <w:rFonts w:ascii="Times New Roman" w:hAnsi="Times New Roman"/>
                <w:sz w:val="24"/>
              </w:rPr>
              <w:t>Teritorijalna agenda Europske unije 2020, iz 2007. godine</w:t>
            </w:r>
          </w:p>
        </w:tc>
      </w:tr>
      <w:tr w:rsidR="00496804" w14:paraId="45D057E4"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2" w14:textId="77777777" w:rsidR="00496804" w:rsidRDefault="0037359D">
            <w:pPr>
              <w:spacing w:line="240" w:lineRule="auto"/>
              <w:ind w:left="170"/>
              <w:rPr>
                <w:rFonts w:ascii="Times New Roman" w:hAnsi="Times New Roman"/>
                <w:sz w:val="24"/>
              </w:rPr>
            </w:pPr>
            <w:r>
              <w:rPr>
                <w:rFonts w:ascii="Times New Roman" w:hAnsi="Times New Roman"/>
                <w:sz w:val="24"/>
              </w:rPr>
              <w:t>TA 2030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3" w14:textId="77777777" w:rsidR="00496804" w:rsidRDefault="0037359D">
            <w:pPr>
              <w:spacing w:line="240" w:lineRule="auto"/>
              <w:ind w:left="170"/>
              <w:rPr>
                <w:rFonts w:ascii="Times New Roman" w:hAnsi="Times New Roman"/>
                <w:sz w:val="24"/>
              </w:rPr>
            </w:pPr>
            <w:r>
              <w:rPr>
                <w:rFonts w:ascii="Times New Roman" w:hAnsi="Times New Roman"/>
                <w:sz w:val="24"/>
              </w:rPr>
              <w:t>Prijedlog Teritorijalne agende 2030</w:t>
            </w:r>
          </w:p>
        </w:tc>
      </w:tr>
      <w:tr w:rsidR="00496804" w14:paraId="45D057E7"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5" w14:textId="77777777" w:rsidR="00496804" w:rsidRDefault="0037359D">
            <w:pPr>
              <w:spacing w:line="240" w:lineRule="auto"/>
              <w:ind w:left="170"/>
              <w:rPr>
                <w:rFonts w:ascii="Times New Roman" w:hAnsi="Times New Roman"/>
                <w:sz w:val="24"/>
              </w:rPr>
            </w:pPr>
            <w:r>
              <w:rPr>
                <w:rFonts w:ascii="Times New Roman" w:hAnsi="Times New Roman"/>
                <w:sz w:val="24"/>
              </w:rPr>
              <w:t>UFEU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6" w14:textId="77777777" w:rsidR="00496804" w:rsidRDefault="0037359D">
            <w:pPr>
              <w:spacing w:line="240" w:lineRule="auto"/>
              <w:ind w:left="170"/>
              <w:rPr>
                <w:rFonts w:ascii="Times New Roman" w:hAnsi="Times New Roman"/>
                <w:sz w:val="24"/>
              </w:rPr>
            </w:pPr>
            <w:r>
              <w:rPr>
                <w:rFonts w:ascii="Times New Roman" w:hAnsi="Times New Roman"/>
                <w:sz w:val="24"/>
              </w:rPr>
              <w:t>Ugovor o funkcioniranju Europske unije</w:t>
            </w:r>
          </w:p>
        </w:tc>
      </w:tr>
      <w:tr w:rsidR="00496804" w14:paraId="45D057E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8" w14:textId="77777777" w:rsidR="00496804" w:rsidRDefault="0037359D">
            <w:pPr>
              <w:spacing w:line="240" w:lineRule="auto"/>
              <w:ind w:left="170"/>
              <w:rPr>
                <w:rFonts w:ascii="Times New Roman" w:hAnsi="Times New Roman"/>
                <w:sz w:val="24"/>
              </w:rPr>
            </w:pPr>
            <w:r>
              <w:rPr>
                <w:rFonts w:ascii="Times New Roman" w:hAnsi="Times New Roman"/>
                <w:sz w:val="24"/>
              </w:rPr>
              <w:t>UN</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9" w14:textId="77777777" w:rsidR="00496804" w:rsidRDefault="0037359D">
            <w:pPr>
              <w:spacing w:line="240" w:lineRule="auto"/>
              <w:ind w:left="170"/>
              <w:rPr>
                <w:rFonts w:ascii="Times New Roman" w:hAnsi="Times New Roman"/>
                <w:sz w:val="24"/>
              </w:rPr>
            </w:pPr>
            <w:r>
              <w:rPr>
                <w:rFonts w:ascii="Times New Roman" w:hAnsi="Times New Roman"/>
                <w:sz w:val="24"/>
              </w:rPr>
              <w:t>Ujedinjeni narodi</w:t>
            </w:r>
          </w:p>
        </w:tc>
      </w:tr>
      <w:tr w:rsidR="00496804" w14:paraId="45D057E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B" w14:textId="77777777" w:rsidR="00496804" w:rsidRDefault="0037359D">
            <w:pPr>
              <w:spacing w:line="240" w:lineRule="auto"/>
              <w:ind w:left="170"/>
              <w:rPr>
                <w:rFonts w:ascii="Times New Roman" w:hAnsi="Times New Roman"/>
                <w:sz w:val="24"/>
              </w:rPr>
            </w:pPr>
            <w:r>
              <w:rPr>
                <w:rFonts w:ascii="Times New Roman" w:hAnsi="Times New Roman"/>
                <w:sz w:val="24"/>
              </w:rPr>
              <w:t>URBACT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C" w14:textId="77777777" w:rsidR="00496804" w:rsidRDefault="0037359D">
            <w:pPr>
              <w:spacing w:line="240" w:lineRule="auto"/>
              <w:ind w:left="170"/>
              <w:rPr>
                <w:rFonts w:ascii="Times New Roman" w:hAnsi="Times New Roman"/>
                <w:sz w:val="24"/>
              </w:rPr>
            </w:pPr>
            <w:r>
              <w:rPr>
                <w:rFonts w:ascii="Times New Roman" w:hAnsi="Times New Roman"/>
                <w:sz w:val="24"/>
              </w:rPr>
              <w:t>Program europske teritorijalne suradnje</w:t>
            </w:r>
          </w:p>
        </w:tc>
      </w:tr>
    </w:tbl>
    <w:p w14:paraId="45D057EE" w14:textId="77777777" w:rsidR="00496804" w:rsidRDefault="00496804">
      <w:pPr>
        <w:pStyle w:val="tekst"/>
        <w:spacing w:line="240" w:lineRule="auto"/>
        <w:rPr>
          <w:rFonts w:ascii="Times New Roman" w:hAnsi="Times New Roman" w:cs="Times New Roman"/>
          <w:sz w:val="24"/>
          <w:szCs w:val="24"/>
        </w:rPr>
      </w:pPr>
    </w:p>
    <w:p w14:paraId="45D057EF" w14:textId="77777777" w:rsidR="00496804" w:rsidRDefault="00496804">
      <w:pPr>
        <w:spacing w:line="240" w:lineRule="auto"/>
        <w:jc w:val="left"/>
        <w:rPr>
          <w:rFonts w:ascii="Times New Roman" w:hAnsi="Times New Roman"/>
          <w:sz w:val="24"/>
        </w:rPr>
      </w:pPr>
    </w:p>
    <w:p w14:paraId="45D057F0"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7F1"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 w:name="_Toc51851618"/>
      <w:r>
        <w:rPr>
          <w:rFonts w:ascii="Times New Roman" w:hAnsi="Times New Roman" w:cs="Times New Roman"/>
          <w:sz w:val="24"/>
          <w:szCs w:val="24"/>
        </w:rPr>
        <w:lastRenderedPageBreak/>
        <w:t>UVOD</w:t>
      </w:r>
      <w:bookmarkEnd w:id="2"/>
    </w:p>
    <w:p w14:paraId="45D057F2" w14:textId="77777777" w:rsidR="00496804" w:rsidRDefault="00496804">
      <w:pPr>
        <w:pStyle w:val="tekst"/>
        <w:spacing w:line="240" w:lineRule="auto"/>
        <w:rPr>
          <w:rFonts w:ascii="Times New Roman" w:hAnsi="Times New Roman" w:cs="Times New Roman"/>
          <w:sz w:val="24"/>
          <w:szCs w:val="24"/>
        </w:rPr>
      </w:pPr>
    </w:p>
    <w:p w14:paraId="45D057F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Program razvoja kružnog gospodarenja prostorom i zgradama</w:t>
      </w:r>
      <w:r>
        <w:rPr>
          <w:rFonts w:ascii="Times New Roman" w:hAnsi="Times New Roman" w:cs="Times New Roman"/>
          <w:sz w:val="24"/>
          <w:szCs w:val="24"/>
        </w:rPr>
        <w:t xml:space="preserve"> </w:t>
      </w:r>
      <w:r>
        <w:rPr>
          <w:rFonts w:ascii="Times New Roman" w:hAnsi="Times New Roman"/>
          <w:sz w:val="24"/>
        </w:rPr>
        <w:t>za razdoblje 2021. do 2030. godine</w:t>
      </w:r>
      <w:r>
        <w:rPr>
          <w:rFonts w:ascii="Times New Roman" w:hAnsi="Times New Roman" w:cs="Times New Roman"/>
          <w:sz w:val="24"/>
          <w:szCs w:val="24"/>
        </w:rPr>
        <w:t xml:space="preserve"> (u daljnjem tekstu: Program razvoja KG) izrađen je u cilju razvoja </w:t>
      </w:r>
      <w:bookmarkStart w:id="3" w:name="_Hlk32661897"/>
      <w:r>
        <w:rPr>
          <w:rFonts w:ascii="Times New Roman" w:hAnsi="Times New Roman" w:cs="Times New Roman"/>
          <w:sz w:val="24"/>
          <w:szCs w:val="24"/>
        </w:rPr>
        <w:t xml:space="preserve">održivih, uključivih, sigurnih i otpornih </w:t>
      </w:r>
      <w:bookmarkEnd w:id="3"/>
      <w:r>
        <w:rPr>
          <w:rFonts w:ascii="Times New Roman" w:hAnsi="Times New Roman" w:cs="Times New Roman"/>
          <w:sz w:val="24"/>
          <w:szCs w:val="24"/>
        </w:rPr>
        <w:t xml:space="preserve">gradova kroz poticanje mjera kružnosti kod planiranja novih zgrada i definiranja smjernica gradnje po načelima kružne ekonomije, poticanje ponovnog korištenja zgrada i prostora i produljenje trajnosti postojećih prostora i zgrada, poticanje mjera smanjenja količine građevnog otpada te povećanja energetske učinkovitosti i korištenja obnovljivih izvora energije (OIE) te ponovnog korištenja postojećih građevnih proizvoda i materijala. </w:t>
      </w:r>
    </w:p>
    <w:p w14:paraId="45D057F4" w14:textId="77777777" w:rsidR="00496804" w:rsidRDefault="00496804">
      <w:pPr>
        <w:pStyle w:val="tekst"/>
        <w:spacing w:line="240" w:lineRule="auto"/>
        <w:rPr>
          <w:rFonts w:ascii="Times New Roman" w:hAnsi="Times New Roman" w:cs="Times New Roman"/>
          <w:sz w:val="24"/>
          <w:szCs w:val="24"/>
        </w:rPr>
      </w:pPr>
    </w:p>
    <w:p w14:paraId="45D057F5" w14:textId="6859E946"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Kružno gospodarenje prostorom i zgradama prepoznato je kao važan aspekt razvoja u </w:t>
      </w:r>
      <w:bookmarkStart w:id="4" w:name="_Hlk36840166"/>
      <w:r>
        <w:rPr>
          <w:rFonts w:ascii="Times New Roman" w:hAnsi="Times New Roman" w:cs="Times New Roman"/>
          <w:bCs/>
          <w:iCs/>
          <w:sz w:val="24"/>
          <w:szCs w:val="24"/>
        </w:rPr>
        <w:t>Strategiji prostornog razvoja Republike Hrvatske</w:t>
      </w:r>
      <w:bookmarkEnd w:id="4"/>
      <w:r>
        <w:rPr>
          <w:rFonts w:ascii="Times New Roman" w:hAnsi="Times New Roman" w:cs="Times New Roman"/>
          <w:bCs/>
          <w:iCs/>
          <w:sz w:val="24"/>
          <w:szCs w:val="24"/>
        </w:rPr>
        <w:t xml:space="preserve"> (SPRRH)</w:t>
      </w:r>
      <w:r>
        <w:rPr>
          <w:rStyle w:val="Referencafusnote"/>
          <w:rFonts w:ascii="Times New Roman" w:hAnsi="Times New Roman" w:cs="Times New Roman"/>
          <w:iCs/>
          <w:sz w:val="24"/>
          <w:szCs w:val="24"/>
        </w:rPr>
        <w:footnoteReference w:id="2"/>
      </w:r>
      <w:r>
        <w:rPr>
          <w:rFonts w:ascii="Times New Roman" w:hAnsi="Times New Roman" w:cs="Times New Roman"/>
          <w:sz w:val="24"/>
          <w:szCs w:val="24"/>
        </w:rPr>
        <w:t xml:space="preserve"> koju je</w:t>
      </w:r>
      <w:r>
        <w:rPr>
          <w:rFonts w:ascii="Times New Roman" w:hAnsi="Times New Roman" w:cs="Times New Roman"/>
          <w:iCs/>
          <w:sz w:val="24"/>
          <w:szCs w:val="24"/>
        </w:rPr>
        <w:t xml:space="preserve"> 2017. godine</w:t>
      </w:r>
      <w:r>
        <w:rPr>
          <w:rFonts w:ascii="Times New Roman" w:hAnsi="Times New Roman" w:cs="Times New Roman"/>
          <w:sz w:val="24"/>
          <w:szCs w:val="24"/>
        </w:rPr>
        <w:t xml:space="preserve"> donio Hrvatski </w:t>
      </w:r>
      <w:r w:rsidR="005F6646">
        <w:rPr>
          <w:rFonts w:ascii="Times New Roman" w:hAnsi="Times New Roman" w:cs="Times New Roman"/>
          <w:sz w:val="24"/>
          <w:szCs w:val="24"/>
        </w:rPr>
        <w:t>s</w:t>
      </w:r>
      <w:r>
        <w:rPr>
          <w:rFonts w:ascii="Times New Roman" w:hAnsi="Times New Roman" w:cs="Times New Roman"/>
          <w:sz w:val="24"/>
          <w:szCs w:val="24"/>
        </w:rPr>
        <w:t>abor kao usmjeravajući dokument koji se planski operacionalizira uz pomoć sustava prostornog</w:t>
      </w:r>
      <w:r w:rsidR="005F6646">
        <w:rPr>
          <w:rFonts w:ascii="Times New Roman" w:hAnsi="Times New Roman" w:cs="Times New Roman"/>
          <w:sz w:val="24"/>
          <w:szCs w:val="24"/>
        </w:rPr>
        <w:t>a</w:t>
      </w:r>
      <w:r>
        <w:rPr>
          <w:rFonts w:ascii="Times New Roman" w:hAnsi="Times New Roman" w:cs="Times New Roman"/>
          <w:sz w:val="24"/>
          <w:szCs w:val="24"/>
        </w:rPr>
        <w:t xml:space="preserve"> planiranja na državnoj, područnoj (regionalnoj) i lokalnoj razini. SPRRH </w:t>
      </w:r>
      <w:r>
        <w:rPr>
          <w:rFonts w:ascii="Times New Roman" w:hAnsi="Times New Roman" w:cs="Times New Roman"/>
          <w:sz w:val="24"/>
          <w:szCs w:val="24"/>
          <w:shd w:val="clear" w:color="auto" w:fill="FFFFFF"/>
        </w:rPr>
        <w:t>kao temeljni državni dokument za usmjerenje razvoja u prostoru,</w:t>
      </w:r>
      <w:r>
        <w:rPr>
          <w:rFonts w:ascii="Times New Roman" w:hAnsi="Times New Roman" w:cs="Times New Roman"/>
          <w:sz w:val="24"/>
          <w:szCs w:val="24"/>
        </w:rPr>
        <w:t xml:space="preserve"> navodi važnost različitih aspekata kružnosti u održivom prostornom razvoju, poput ponovnog korištenja postojećih napuštenih prostora, revitalizacije </w:t>
      </w:r>
      <w:r>
        <w:rPr>
          <w:rFonts w:ascii="Times New Roman" w:hAnsi="Times New Roman" w:cs="Times New Roman"/>
          <w:i/>
          <w:iCs/>
          <w:sz w:val="24"/>
          <w:szCs w:val="24"/>
        </w:rPr>
        <w:t>brownfield</w:t>
      </w:r>
      <w:r>
        <w:rPr>
          <w:rFonts w:ascii="Times New Roman" w:hAnsi="Times New Roman" w:cs="Times New Roman"/>
          <w:sz w:val="24"/>
          <w:szCs w:val="24"/>
        </w:rPr>
        <w:t xml:space="preserve"> područja, ali i poticanja smanjenja stvaranja građevnog otpada. SPRRH također naglašava značaj povećanja energetske učinkovitosti u zgradarstvu.</w:t>
      </w:r>
    </w:p>
    <w:p w14:paraId="45D057F6" w14:textId="77777777" w:rsidR="00496804" w:rsidRDefault="00496804">
      <w:pPr>
        <w:pStyle w:val="tekst"/>
        <w:spacing w:line="240" w:lineRule="auto"/>
        <w:rPr>
          <w:rFonts w:ascii="Times New Roman" w:hAnsi="Times New Roman" w:cs="Times New Roman"/>
          <w:sz w:val="24"/>
          <w:szCs w:val="24"/>
        </w:rPr>
      </w:pPr>
    </w:p>
    <w:p w14:paraId="45D057F7" w14:textId="4EB9566C"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Ostvarenje održive, klimatski neutralne i zelene Europe do 2050. godine jedan je od prioriteta EU</w:t>
      </w:r>
      <w:r w:rsidR="005F6646">
        <w:rPr>
          <w:rFonts w:ascii="Times New Roman" w:hAnsi="Times New Roman" w:cs="Times New Roman"/>
          <w:sz w:val="24"/>
          <w:szCs w:val="24"/>
        </w:rPr>
        <w:t>-a</w:t>
      </w:r>
      <w:r>
        <w:rPr>
          <w:rFonts w:ascii="Times New Roman" w:hAnsi="Times New Roman" w:cs="Times New Roman"/>
          <w:sz w:val="24"/>
          <w:szCs w:val="24"/>
        </w:rPr>
        <w:t>, a Komunikacija Komisije Europskom parlamentu, Europskom vijeću, Vijeću, Europskom gospodarskom i socijalnom odboru i Odboru regija: Europski zeleni plan (COM(2019) 640 final) od 11.</w:t>
      </w:r>
      <w:r w:rsidR="005F6646">
        <w:rPr>
          <w:rFonts w:ascii="Times New Roman" w:hAnsi="Times New Roman" w:cs="Times New Roman"/>
          <w:sz w:val="24"/>
          <w:szCs w:val="24"/>
        </w:rPr>
        <w:t xml:space="preserve"> prosinca </w:t>
      </w:r>
      <w:r>
        <w:rPr>
          <w:rFonts w:ascii="Times New Roman" w:hAnsi="Times New Roman" w:cs="Times New Roman"/>
          <w:sz w:val="24"/>
          <w:szCs w:val="24"/>
        </w:rPr>
        <w:t>2019.</w:t>
      </w:r>
      <w:r>
        <w:rPr>
          <w:rStyle w:val="Referencafusnote"/>
          <w:rFonts w:ascii="Times New Roman" w:hAnsi="Times New Roman" w:cs="Times New Roman"/>
          <w:sz w:val="24"/>
          <w:szCs w:val="24"/>
        </w:rPr>
        <w:footnoteReference w:id="3"/>
      </w:r>
      <w:r>
        <w:rPr>
          <w:rFonts w:ascii="Times New Roman" w:hAnsi="Times New Roman" w:cs="Times New Roman"/>
          <w:sz w:val="24"/>
          <w:szCs w:val="24"/>
        </w:rPr>
        <w:t>, kao nova strategija rasta, nastoji EU preobraziti u pravedno i prosperitetno društvo s modernim, resursno učinkovitim i konkurentnim gospodarstvom u kojem 2050. godine neće biti neto emisija stakleničkih plinova, a gospodarski rast neće biti povezan s upotrebom resursa.</w:t>
      </w:r>
    </w:p>
    <w:p w14:paraId="45D057F8" w14:textId="77777777" w:rsidR="00496804" w:rsidRDefault="00496804">
      <w:pPr>
        <w:pStyle w:val="tekst"/>
        <w:spacing w:line="240" w:lineRule="auto"/>
        <w:rPr>
          <w:rFonts w:ascii="Times New Roman" w:hAnsi="Times New Roman" w:cs="Times New Roman"/>
          <w:sz w:val="24"/>
          <w:szCs w:val="24"/>
        </w:rPr>
      </w:pPr>
    </w:p>
    <w:p w14:paraId="45D057F9" w14:textId="766CCE88"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U urbanim područjima EU</w:t>
      </w:r>
      <w:r w:rsidR="005F6646">
        <w:rPr>
          <w:rFonts w:ascii="Times New Roman" w:hAnsi="Times New Roman" w:cs="Times New Roman"/>
          <w:sz w:val="24"/>
          <w:szCs w:val="24"/>
        </w:rPr>
        <w:t>-a</w:t>
      </w:r>
      <w:r>
        <w:rPr>
          <w:rFonts w:ascii="Times New Roman" w:hAnsi="Times New Roman" w:cs="Times New Roman"/>
          <w:sz w:val="24"/>
          <w:szCs w:val="24"/>
        </w:rPr>
        <w:t xml:space="preserve"> trenutačno živi 74% stanovništva. Urbana područja, posebice gradovi, prepoznati su kao pokretači ekonomskog rasta, a imaju najveći utjecaj na održivi razvoj. Važan čimbenik održivog razvoja je unaprjeđenje održivosti i otpornosti urbanih sredina, poboljšanje okoliša u gradovima i povećanje kvalitete života i zdravlja ljudi. Većina resursa koji se koriste u gradovima su u obliku zgrada, parkova i cesta i predstavljaju veliku količinu resursa u korištenju. Razvojem kružnog gospodarenja prostorom i zgradama pridonosi se smanjenju nastanka otpada jer će resursi ostati u daljnjoj uporabi u najvećoj mogućoj mjeri, a doprinosi se i povećanju prostorne učinkovitosti. </w:t>
      </w:r>
    </w:p>
    <w:p w14:paraId="45D057FA" w14:textId="77777777" w:rsidR="00496804" w:rsidRDefault="00496804">
      <w:pPr>
        <w:pStyle w:val="tekst"/>
        <w:spacing w:line="240" w:lineRule="auto"/>
        <w:rPr>
          <w:rFonts w:ascii="Times New Roman" w:hAnsi="Times New Roman" w:cs="Times New Roman"/>
          <w:sz w:val="24"/>
          <w:szCs w:val="24"/>
        </w:rPr>
      </w:pPr>
    </w:p>
    <w:p w14:paraId="45D057F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Građevinski fond RH se mijenja, a u većoj mjeri karakterizira ga značajan broj nekorištenih prostora i zgrada. </w:t>
      </w:r>
      <w:r>
        <w:rPr>
          <w:rFonts w:ascii="Times New Roman" w:hAnsi="Times New Roman" w:cs="Times New Roman"/>
          <w:iCs/>
          <w:sz w:val="24"/>
          <w:szCs w:val="24"/>
        </w:rPr>
        <w:t>Zakon o prostornom uređenju</w:t>
      </w:r>
      <w:r>
        <w:rPr>
          <w:rStyle w:val="Referencafusnote"/>
          <w:rFonts w:ascii="Times New Roman" w:hAnsi="Times New Roman" w:cs="Times New Roman"/>
          <w:iCs/>
          <w:sz w:val="24"/>
          <w:szCs w:val="24"/>
        </w:rPr>
        <w:footnoteReference w:id="4"/>
      </w:r>
      <w:r>
        <w:rPr>
          <w:rFonts w:ascii="Times New Roman" w:hAnsi="Times New Roman" w:cs="Times New Roman"/>
          <w:i/>
          <w:iCs/>
          <w:sz w:val="24"/>
          <w:szCs w:val="24"/>
        </w:rPr>
        <w:t xml:space="preserve"> </w:t>
      </w:r>
      <w:r>
        <w:rPr>
          <w:rFonts w:ascii="Times New Roman" w:hAnsi="Times New Roman" w:cs="Times New Roman"/>
          <w:sz w:val="24"/>
          <w:szCs w:val="24"/>
        </w:rPr>
        <w:t>navodi kako se održivi razvitak podržava kružnim gospodarenjem prostorom i građevinama tako da se očuvaju postojeći resursi uređenjem i revitalizacijom prostora i ponovnom uporabom građevina kako bi se stvorila dodatna duža vrijednost i omogućilo učinkovito gospodarenje resursima.</w:t>
      </w:r>
    </w:p>
    <w:p w14:paraId="45D057FC" w14:textId="77777777" w:rsidR="00496804" w:rsidRDefault="00496804">
      <w:pPr>
        <w:pStyle w:val="tekst"/>
        <w:spacing w:line="240" w:lineRule="auto"/>
        <w:rPr>
          <w:rFonts w:ascii="Times New Roman" w:hAnsi="Times New Roman" w:cs="Times New Roman"/>
          <w:sz w:val="24"/>
          <w:szCs w:val="24"/>
        </w:rPr>
      </w:pPr>
    </w:p>
    <w:p w14:paraId="45D057FD" w14:textId="339064F4"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Postavljeni prioriteti ovog</w:t>
      </w:r>
      <w:r w:rsidR="005F6646">
        <w:rPr>
          <w:rFonts w:ascii="Times New Roman" w:hAnsi="Times New Roman" w:cs="Times New Roman"/>
          <w:sz w:val="24"/>
          <w:szCs w:val="24"/>
        </w:rPr>
        <w:t>a</w:t>
      </w:r>
      <w:r>
        <w:rPr>
          <w:rFonts w:ascii="Times New Roman" w:hAnsi="Times New Roman" w:cs="Times New Roman"/>
          <w:sz w:val="24"/>
          <w:szCs w:val="24"/>
        </w:rPr>
        <w:t xml:space="preserve"> Programa su: revitalizacija nekorištenih prostora i zgrada i smjernice za planiranje novih zgrada po načelu modela kružnog gospodarstva, a mjere su usmjerene na povećanje trajnosti i c</w:t>
      </w:r>
      <w:r>
        <w:rPr>
          <w:rFonts w:ascii="Times New Roman" w:hAnsi="Times New Roman"/>
          <w:sz w:val="24"/>
        </w:rPr>
        <w:t>jeloživotnog</w:t>
      </w:r>
      <w:r>
        <w:rPr>
          <w:rFonts w:ascii="Times New Roman" w:hAnsi="Times New Roman" w:cs="Times New Roman"/>
          <w:sz w:val="24"/>
          <w:szCs w:val="24"/>
        </w:rPr>
        <w:t xml:space="preserve"> vijeka zgrada u prostoru, povećanje energetske učinkovitosti zgrada, te smanjenje nastanka građevnog otpada u cilju održivog razvoja. </w:t>
      </w:r>
    </w:p>
    <w:p w14:paraId="45D057FE" w14:textId="77777777" w:rsidR="00496804" w:rsidRDefault="00496804">
      <w:pPr>
        <w:pStyle w:val="tekst"/>
        <w:spacing w:line="240" w:lineRule="auto"/>
        <w:rPr>
          <w:rFonts w:ascii="Times New Roman" w:hAnsi="Times New Roman" w:cs="Times New Roman"/>
          <w:sz w:val="24"/>
          <w:szCs w:val="24"/>
        </w:rPr>
      </w:pPr>
    </w:p>
    <w:p w14:paraId="45D057F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lastRenderedPageBreak/>
        <w:t>Posebni ciljevi predloženi Programom razvoja KG su:</w:t>
      </w:r>
    </w:p>
    <w:p w14:paraId="45D05800" w14:textId="77777777" w:rsidR="00496804" w:rsidRDefault="00496804">
      <w:pPr>
        <w:pStyle w:val="tekst"/>
        <w:spacing w:line="240" w:lineRule="auto"/>
        <w:rPr>
          <w:rFonts w:ascii="Times New Roman" w:hAnsi="Times New Roman" w:cs="Times New Roman"/>
          <w:sz w:val="24"/>
          <w:szCs w:val="24"/>
        </w:rPr>
      </w:pPr>
    </w:p>
    <w:p w14:paraId="45D05801"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 xml:space="preserve">Posebni cilj 1. </w:t>
      </w:r>
      <w:r>
        <w:rPr>
          <w:rFonts w:ascii="Times New Roman" w:hAnsi="Times New Roman" w:cs="Times New Roman"/>
          <w:b w:val="0"/>
          <w:sz w:val="24"/>
        </w:rPr>
        <w:tab/>
        <w:t>Razvoj sustava kružnog gospodarenja prostorom i zgradama</w:t>
      </w:r>
    </w:p>
    <w:p w14:paraId="45D05802"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 xml:space="preserve">Posebni cilj 2. </w:t>
      </w:r>
      <w:r>
        <w:rPr>
          <w:rFonts w:ascii="Times New Roman" w:hAnsi="Times New Roman" w:cs="Times New Roman"/>
          <w:b w:val="0"/>
          <w:sz w:val="24"/>
        </w:rPr>
        <w:tab/>
        <w:t>Kružna obnova nekorištenih prostora i zgrada</w:t>
      </w:r>
    </w:p>
    <w:p w14:paraId="45D05803"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Posebni cilj 3.</w:t>
      </w:r>
      <w:r>
        <w:rPr>
          <w:rFonts w:ascii="Times New Roman" w:hAnsi="Times New Roman" w:cs="Times New Roman"/>
          <w:b w:val="0"/>
          <w:sz w:val="24"/>
        </w:rPr>
        <w:tab/>
        <w:t>Visoka razina znanja i društvene svijesti o kružnom gospodarenju prostorom i zgradama</w:t>
      </w:r>
    </w:p>
    <w:p w14:paraId="45D05804" w14:textId="77777777" w:rsidR="00496804" w:rsidRDefault="00496804">
      <w:pPr>
        <w:spacing w:line="240" w:lineRule="auto"/>
        <w:ind w:left="426"/>
        <w:rPr>
          <w:rFonts w:ascii="Times New Roman" w:hAnsi="Times New Roman"/>
          <w:sz w:val="24"/>
          <w:lang w:eastAsia="hr-HR"/>
        </w:rPr>
      </w:pPr>
    </w:p>
    <w:p w14:paraId="45D05805" w14:textId="7E268C8E" w:rsidR="00496804" w:rsidRDefault="0037359D">
      <w:pPr>
        <w:pStyle w:val="tekst"/>
        <w:spacing w:line="240" w:lineRule="auto"/>
        <w:rPr>
          <w:rFonts w:ascii="Times New Roman" w:hAnsi="Times New Roman" w:cs="Times New Roman"/>
          <w:bCs/>
          <w:sz w:val="24"/>
          <w:szCs w:val="24"/>
        </w:rPr>
      </w:pPr>
      <w:r>
        <w:rPr>
          <w:rFonts w:ascii="Times New Roman" w:hAnsi="Times New Roman" w:cs="Times New Roman"/>
          <w:sz w:val="24"/>
          <w:szCs w:val="24"/>
        </w:rPr>
        <w:t xml:space="preserve">Svrha Programa razvoja KG je pružiti svim dionicima okvir za provedbu kružnog gospodarenja prostorom i zgradama. Ovim </w:t>
      </w:r>
      <w:r>
        <w:rPr>
          <w:rFonts w:ascii="Times New Roman" w:hAnsi="Times New Roman" w:cs="Times New Roman"/>
          <w:sz w:val="24"/>
          <w:szCs w:val="24"/>
          <w:u w:color="942192"/>
        </w:rPr>
        <w:t xml:space="preserve">Programom se prvenstveno nastoji potaknuti obnova postojećeg nacionalnog fonda zgrada prema načelima kružnog gospodarenja u svrhu </w:t>
      </w:r>
      <w:r>
        <w:rPr>
          <w:rFonts w:ascii="Times New Roman" w:hAnsi="Times New Roman" w:cs="Times New Roman"/>
          <w:sz w:val="24"/>
          <w:szCs w:val="24"/>
        </w:rPr>
        <w:t>produljenja c</w:t>
      </w:r>
      <w:r>
        <w:rPr>
          <w:rFonts w:ascii="Times New Roman" w:hAnsi="Times New Roman"/>
          <w:sz w:val="24"/>
        </w:rPr>
        <w:t>jeloživotnog</w:t>
      </w:r>
      <w:r>
        <w:rPr>
          <w:rFonts w:ascii="Times New Roman" w:hAnsi="Times New Roman" w:cs="Times New Roman"/>
          <w:sz w:val="24"/>
          <w:szCs w:val="24"/>
        </w:rPr>
        <w:t xml:space="preserve"> vijeka zgrada te potaknuti</w:t>
      </w:r>
      <w:r w:rsidR="007005ED">
        <w:rPr>
          <w:rFonts w:ascii="Times New Roman" w:hAnsi="Times New Roman" w:cs="Times New Roman"/>
          <w:sz w:val="24"/>
          <w:szCs w:val="24"/>
        </w:rPr>
        <w:t xml:space="preserve"> ponovna upotreba te</w:t>
      </w:r>
      <w:r>
        <w:rPr>
          <w:rFonts w:ascii="Times New Roman" w:hAnsi="Times New Roman" w:cs="Times New Roman"/>
          <w:sz w:val="24"/>
          <w:szCs w:val="24"/>
        </w:rPr>
        <w:t xml:space="preserve"> postup</w:t>
      </w:r>
      <w:r w:rsidR="007005ED">
        <w:rPr>
          <w:rFonts w:ascii="Times New Roman" w:hAnsi="Times New Roman" w:cs="Times New Roman"/>
          <w:sz w:val="24"/>
          <w:szCs w:val="24"/>
        </w:rPr>
        <w:t>ci</w:t>
      </w:r>
      <w:r>
        <w:rPr>
          <w:rFonts w:ascii="Times New Roman" w:hAnsi="Times New Roman" w:cs="Times New Roman"/>
          <w:sz w:val="24"/>
          <w:szCs w:val="24"/>
        </w:rPr>
        <w:t xml:space="preserve"> oporabe građevnog otpada koji je nastao tijekom obnove. </w:t>
      </w:r>
      <w:r>
        <w:rPr>
          <w:rFonts w:ascii="Times New Roman" w:hAnsi="Times New Roman" w:cs="Times New Roman"/>
          <w:bCs/>
          <w:sz w:val="24"/>
          <w:szCs w:val="24"/>
        </w:rPr>
        <w:t xml:space="preserve">Program razvoja KG će stoga utvrditi stanje u prostoru RH i analizirati moguće primjene kružnog gospodarenja prostorom i zgradama, utvrditi potencijal, prepreke i prioritete razvoja kružnog gospodarenja prostorom i zgradama, identificirati i razraditi mjere i aktivnosti provedbe Programa, ocijeniti učinak definiranih mjera te izvora financiranja, a sve u skladu s obvezama i preporukama proizašlim iz međunarodnog i europskog okvira te nacionalnog strateškog i zakonodavnog okvira. </w:t>
      </w:r>
      <w:r>
        <w:rPr>
          <w:rFonts w:ascii="Times New Roman" w:hAnsi="Times New Roman" w:cs="Times New Roman"/>
          <w:sz w:val="24"/>
          <w:szCs w:val="24"/>
        </w:rPr>
        <w:t>Visoka razina znanja i društvene svijesti postići će se uključivanjem širokog kruga javnosti i dionika, informiranjem i edukacijom o kružnom gospodarenju prostorom i zgradama. Posebno važnu ulogu imaju kreatori politika na lokalnoj razini jer je uspješnost mjera usko vezana uz izradu razvojnih i prostornih planova na lokalnoj razini.</w:t>
      </w:r>
    </w:p>
    <w:p w14:paraId="45D05806" w14:textId="77777777" w:rsidR="00496804" w:rsidRDefault="00496804">
      <w:pPr>
        <w:spacing w:line="240" w:lineRule="auto"/>
        <w:rPr>
          <w:rFonts w:ascii="Times New Roman" w:hAnsi="Times New Roman"/>
          <w:sz w:val="24"/>
          <w:lang w:eastAsia="hr-HR"/>
        </w:rPr>
      </w:pPr>
    </w:p>
    <w:p w14:paraId="45D05807" w14:textId="77777777" w:rsidR="00496804" w:rsidRDefault="00496804">
      <w:pPr>
        <w:spacing w:line="240" w:lineRule="auto"/>
        <w:rPr>
          <w:rFonts w:ascii="Times New Roman" w:hAnsi="Times New Roman"/>
          <w:sz w:val="24"/>
          <w:lang w:eastAsia="hr-HR"/>
        </w:rPr>
      </w:pPr>
    </w:p>
    <w:p w14:paraId="45D05808"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5" w:name="_Toc31284790"/>
      <w:bookmarkStart w:id="6" w:name="_Toc31285284"/>
      <w:bookmarkStart w:id="7" w:name="_Toc31284157"/>
      <w:bookmarkStart w:id="8" w:name="_Toc31284617"/>
      <w:bookmarkStart w:id="9" w:name="_Toc31285344"/>
      <w:bookmarkStart w:id="10" w:name="_Toc31287506"/>
      <w:bookmarkStart w:id="11" w:name="_Toc31287657"/>
      <w:bookmarkStart w:id="12" w:name="_Toc31287809"/>
      <w:bookmarkStart w:id="13" w:name="_Toc31287961"/>
      <w:bookmarkStart w:id="14" w:name="_Toc31288113"/>
      <w:bookmarkStart w:id="15" w:name="_Toc31288265"/>
      <w:bookmarkStart w:id="16" w:name="_Toc31288296"/>
      <w:bookmarkStart w:id="17" w:name="_Toc31290319"/>
      <w:bookmarkStart w:id="18" w:name="_Toc31369388"/>
      <w:bookmarkStart w:id="19" w:name="_Toc31369706"/>
      <w:bookmarkStart w:id="20" w:name="_Toc31369766"/>
      <w:bookmarkStart w:id="21" w:name="_Toc31369813"/>
      <w:bookmarkStart w:id="22" w:name="_Toc31369893"/>
      <w:bookmarkStart w:id="23" w:name="_Toc31369926"/>
      <w:bookmarkStart w:id="24" w:name="_Toc31369975"/>
      <w:bookmarkStart w:id="25" w:name="_Toc31370224"/>
      <w:bookmarkStart w:id="26" w:name="_Toc5185161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ascii="Times New Roman" w:hAnsi="Times New Roman" w:cs="Times New Roman"/>
          <w:sz w:val="24"/>
          <w:szCs w:val="24"/>
        </w:rPr>
        <w:t>OKVIR I METODOLOGIJA IZRADE</w:t>
      </w:r>
      <w:bookmarkEnd w:id="26"/>
    </w:p>
    <w:p w14:paraId="45D05809" w14:textId="77777777" w:rsidR="00496804" w:rsidRDefault="00496804">
      <w:pPr>
        <w:spacing w:line="240" w:lineRule="auto"/>
        <w:rPr>
          <w:rFonts w:ascii="Times New Roman" w:hAnsi="Times New Roman"/>
          <w:sz w:val="24"/>
        </w:rPr>
      </w:pPr>
    </w:p>
    <w:p w14:paraId="45D0580A" w14:textId="77777777" w:rsidR="00496804" w:rsidRDefault="0037359D">
      <w:pPr>
        <w:pStyle w:val="Naslov2"/>
        <w:ind w:left="426" w:hanging="426"/>
        <w:rPr>
          <w:rFonts w:ascii="Times New Roman" w:hAnsi="Times New Roman" w:cs="Times New Roman"/>
          <w:color w:val="auto"/>
          <w:sz w:val="24"/>
          <w:szCs w:val="24"/>
        </w:rPr>
      </w:pPr>
      <w:bookmarkStart w:id="27" w:name="_Toc51851620"/>
      <w:r>
        <w:rPr>
          <w:rFonts w:ascii="Times New Roman" w:hAnsi="Times New Roman" w:cs="Times New Roman"/>
          <w:color w:val="auto"/>
          <w:sz w:val="24"/>
          <w:szCs w:val="24"/>
        </w:rPr>
        <w:t>MEĐUNARODNI KONTEKST</w:t>
      </w:r>
      <w:bookmarkEnd w:id="27"/>
    </w:p>
    <w:p w14:paraId="45D0580B" w14:textId="77777777" w:rsidR="00496804" w:rsidRDefault="00496804">
      <w:pPr>
        <w:spacing w:line="240" w:lineRule="auto"/>
        <w:rPr>
          <w:rFonts w:ascii="Times New Roman" w:hAnsi="Times New Roman"/>
          <w:sz w:val="24"/>
        </w:rPr>
      </w:pPr>
    </w:p>
    <w:p w14:paraId="45D0580C" w14:textId="396E583C" w:rsidR="00496804" w:rsidRDefault="0037359D">
      <w:pPr>
        <w:pStyle w:val="tekst"/>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Program razvoja KG izrađen je u skladu s međunarodnim kontekstom koji obilježava razvojna politika usmjerena na održivi razvoj, u okviru koje kružno gospodarstvo ima izniman značaj. </w:t>
      </w:r>
    </w:p>
    <w:p w14:paraId="45D0580D" w14:textId="77777777" w:rsidR="00496804" w:rsidRDefault="00496804">
      <w:pPr>
        <w:pStyle w:val="tekst"/>
        <w:spacing w:line="240" w:lineRule="auto"/>
        <w:rPr>
          <w:rFonts w:ascii="Times New Roman" w:hAnsi="Times New Roman" w:cs="Times New Roman"/>
          <w:sz w:val="24"/>
          <w:szCs w:val="24"/>
        </w:rPr>
      </w:pPr>
    </w:p>
    <w:p w14:paraId="45D0580E" w14:textId="373541F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iCs/>
          <w:sz w:val="24"/>
          <w:szCs w:val="24"/>
        </w:rPr>
        <w:t>Program Ujedinjenih Naroda za održivi razvoj 2030 (Program 2030)</w:t>
      </w:r>
      <w:r>
        <w:rPr>
          <w:rStyle w:val="Referencafusnote"/>
          <w:rFonts w:ascii="Times New Roman" w:hAnsi="Times New Roman" w:cs="Times New Roman"/>
          <w:sz w:val="24"/>
          <w:szCs w:val="24"/>
        </w:rPr>
        <w:footnoteReference w:id="5"/>
      </w:r>
      <w:r>
        <w:rPr>
          <w:rFonts w:ascii="Times New Roman" w:hAnsi="Times New Roman" w:cs="Times New Roman"/>
          <w:sz w:val="24"/>
          <w:szCs w:val="24"/>
        </w:rPr>
        <w:t xml:space="preserve"> usmjeren je prema ostvarenju održivog razvoja te predstavlja najvažniji dokument na međunarodnoj razini. Program 2030 postavlja 17 novih globalnih ciljeva održivog razvoja kojim se do 2030. godine nastoji zaustaviti svaki oblik siromaštva, riješiti problem klimatskih promjena, pojačati borbu protiv nejednakosti istovremeno osiguravajući da nitko ne bude isključen te doprinijeti održivom gospodarskom razvoju. Jedan od ciljeva Programa 2030 je cilj 11, a koji je usmjeren na razvoj uključivih, sigurnih, otpornih i održivih gradova i naselja, u kojemu važnu ulogu ima korištenje već postojećih prostora, sve u cilju spr</w:t>
      </w:r>
      <w:r w:rsidR="000C4285">
        <w:rPr>
          <w:rFonts w:ascii="Times New Roman" w:hAnsi="Times New Roman" w:cs="Times New Roman"/>
          <w:sz w:val="24"/>
          <w:szCs w:val="24"/>
        </w:rPr>
        <w:t>j</w:t>
      </w:r>
      <w:r>
        <w:rPr>
          <w:rFonts w:ascii="Times New Roman" w:hAnsi="Times New Roman" w:cs="Times New Roman"/>
          <w:sz w:val="24"/>
          <w:szCs w:val="24"/>
        </w:rPr>
        <w:t xml:space="preserve">ečavanja nekontroliranog širenja građevinskih zemljišta. Kružno gospodarenje se, u određenoj mjeri, može povezati i s ostalim ciljevima Programa 2030, poput onih usmjerenih na borbu protiv klimatskih promjena i ublažavanje posljedica istih (cilj 13), odgovornu proizvodnju i korištenje (cilj 12) te razvoj otporne i prilagodljive infrastrukture (cilj 9). </w:t>
      </w:r>
      <w:r>
        <w:rPr>
          <w:rFonts w:ascii="Times New Roman" w:hAnsi="Times New Roman" w:cs="Times New Roman"/>
          <w:sz w:val="24"/>
          <w:szCs w:val="24"/>
          <w:u w:color="942192"/>
        </w:rPr>
        <w:t>Program razvoja KG osmišljava održivost na više međupovezanih razina (procesa i materijala) s ciljem zadržavanja vrijednosti materijala tijekom čitavog procesa (proizvodnja i eksploatacija) i smanjenja proizvodnje otpada.</w:t>
      </w:r>
    </w:p>
    <w:p w14:paraId="45D0580F" w14:textId="77777777" w:rsidR="00496804" w:rsidRDefault="00496804">
      <w:pPr>
        <w:pStyle w:val="tekst"/>
        <w:spacing w:line="240" w:lineRule="auto"/>
        <w:rPr>
          <w:rFonts w:ascii="Times New Roman" w:hAnsi="Times New Roman" w:cs="Times New Roman"/>
          <w:sz w:val="24"/>
          <w:szCs w:val="24"/>
        </w:rPr>
      </w:pPr>
    </w:p>
    <w:p w14:paraId="45D0581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Uz Program 2030 ističe se i Nova urbana agenda</w:t>
      </w:r>
      <w:r>
        <w:rPr>
          <w:rStyle w:val="Referencafusnote"/>
          <w:rFonts w:ascii="Times New Roman" w:hAnsi="Times New Roman" w:cs="Times New Roman"/>
          <w:sz w:val="24"/>
          <w:szCs w:val="24"/>
        </w:rPr>
        <w:footnoteReference w:id="6"/>
      </w:r>
      <w:r>
        <w:rPr>
          <w:rFonts w:ascii="Times New Roman" w:hAnsi="Times New Roman" w:cs="Times New Roman"/>
          <w:sz w:val="24"/>
          <w:szCs w:val="24"/>
        </w:rPr>
        <w:t xml:space="preserve"> usvojena 2016. godine od strane UN-a koja utvrđuje standarde i načela za planiranje, izgradnju, razvoj, upravljanje i poboljšanje urbanih područja, pri čemu također navodi značaj održivog korištenja prostornih resursa te kružnog </w:t>
      </w:r>
      <w:r>
        <w:rPr>
          <w:rFonts w:ascii="Times New Roman" w:hAnsi="Times New Roman" w:cs="Times New Roman"/>
          <w:sz w:val="24"/>
          <w:szCs w:val="24"/>
        </w:rPr>
        <w:lastRenderedPageBreak/>
        <w:t>gospodarenja. Prema podacima koje UN navodi u publikaciji Revision of World Urbanization Prospects</w:t>
      </w:r>
      <w:r>
        <w:rPr>
          <w:rStyle w:val="Referencafusnote"/>
          <w:rFonts w:ascii="Times New Roman" w:hAnsi="Times New Roman" w:cs="Times New Roman"/>
          <w:sz w:val="24"/>
          <w:szCs w:val="24"/>
        </w:rPr>
        <w:footnoteReference w:id="7"/>
      </w:r>
      <w:r>
        <w:rPr>
          <w:rFonts w:ascii="Times New Roman" w:hAnsi="Times New Roman" w:cs="Times New Roman"/>
          <w:sz w:val="24"/>
          <w:szCs w:val="24"/>
        </w:rPr>
        <w:t xml:space="preserve"> iz 2018. godine, danas više od 55% svjetske populacije živi u gradovima, a projekcija je da će do 2050. godine taj udio biti znatno veći. Razumijevanje i primjena novih trendova u procesima urbanizacije koja će se odvijati tijekom nekoliko sljedećih godina presudna je za stvaranje okvira održivog urbanog razvoja. Održivi razvoj je onaj koji „zadovoljava potrebe današnjice, a pritom ne ugrožava potrebe budućih generacija“ prema definiciji Brundtlandske komisije. </w:t>
      </w:r>
    </w:p>
    <w:p w14:paraId="45D05811" w14:textId="77777777" w:rsidR="00496804" w:rsidRDefault="00496804">
      <w:pPr>
        <w:pStyle w:val="tekst"/>
        <w:spacing w:line="240" w:lineRule="auto"/>
        <w:rPr>
          <w:rFonts w:ascii="Times New Roman" w:hAnsi="Times New Roman" w:cs="Times New Roman"/>
          <w:sz w:val="24"/>
          <w:szCs w:val="24"/>
        </w:rPr>
      </w:pPr>
    </w:p>
    <w:p w14:paraId="45D0581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S obzirom na značaj kružnog gospodarenja prostorom i zgradama s aspekta doprinosa energetskoj učinkovitosti i borbi protiv klimatskih promjena, bitno je istaknuti doprinos Programa razvoja KG </w:t>
      </w:r>
      <w:r>
        <w:rPr>
          <w:rFonts w:ascii="Times New Roman" w:hAnsi="Times New Roman" w:cs="Times New Roman"/>
          <w:bCs/>
          <w:sz w:val="24"/>
          <w:szCs w:val="24"/>
        </w:rPr>
        <w:t>Pariškom sporazumu</w:t>
      </w:r>
      <w:r>
        <w:rPr>
          <w:rStyle w:val="Referencafusnote"/>
          <w:rFonts w:ascii="Times New Roman" w:hAnsi="Times New Roman" w:cs="Times New Roman"/>
          <w:sz w:val="24"/>
          <w:szCs w:val="24"/>
        </w:rPr>
        <w:footnoteReference w:id="8"/>
      </w:r>
      <w:r>
        <w:rPr>
          <w:rFonts w:ascii="Times New Roman" w:hAnsi="Times New Roman" w:cs="Times New Roman"/>
          <w:sz w:val="24"/>
          <w:szCs w:val="24"/>
        </w:rPr>
        <w:t xml:space="preserve"> kojim su se države članice EU obvezale do 2030. godine smanjiti emisije stakleničkih plinova za najmanje 40% i doprinijeti ograničenju rasta globalne temperature na manje od 2˚C u odnosu na predindustrijsku razinu. </w:t>
      </w:r>
    </w:p>
    <w:p w14:paraId="45D05813" w14:textId="77777777" w:rsidR="00496804" w:rsidRDefault="00496804">
      <w:pPr>
        <w:pStyle w:val="tekst"/>
        <w:spacing w:line="240" w:lineRule="auto"/>
        <w:rPr>
          <w:rFonts w:ascii="Times New Roman" w:hAnsi="Times New Roman" w:cs="Times New Roman"/>
          <w:sz w:val="24"/>
          <w:szCs w:val="24"/>
          <w:u w:color="942192"/>
        </w:rPr>
      </w:pPr>
    </w:p>
    <w:p w14:paraId="45D05814"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Strategija Europa 2020</w:t>
      </w:r>
      <w:r>
        <w:rPr>
          <w:rStyle w:val="Referencafusnote"/>
          <w:rFonts w:ascii="Times New Roman" w:hAnsi="Times New Roman" w:cs="Times New Roman"/>
          <w:sz w:val="24"/>
          <w:szCs w:val="24"/>
        </w:rPr>
        <w:footnoteReference w:id="9"/>
      </w:r>
      <w:r>
        <w:rPr>
          <w:rFonts w:ascii="Times New Roman" w:hAnsi="Times New Roman" w:cs="Times New Roman"/>
          <w:sz w:val="24"/>
          <w:szCs w:val="24"/>
        </w:rPr>
        <w:t xml:space="preserve"> naglašavala je pametan, održiv i uključiv rast kao način prevladavanja strukturnih slabosti europskog gospodarstva i poboljšanja njegove konkurentnosti i produktivnosti te podupiranja održivog socijalnog tržišnog gospodarstva, a danas Urbana agenda za EU</w:t>
      </w:r>
      <w:r>
        <w:rPr>
          <w:rStyle w:val="Referencafusnote"/>
          <w:rFonts w:ascii="Times New Roman" w:hAnsi="Times New Roman" w:cs="Times New Roman"/>
          <w:bCs/>
          <w:sz w:val="24"/>
          <w:szCs w:val="24"/>
        </w:rPr>
        <w:footnoteReference w:id="10"/>
      </w:r>
      <w:r>
        <w:rPr>
          <w:rFonts w:ascii="Times New Roman" w:hAnsi="Times New Roman" w:cs="Times New Roman"/>
          <w:sz w:val="24"/>
          <w:szCs w:val="24"/>
        </w:rPr>
        <w:t xml:space="preserve"> (kao prilog Amsterdamskog pakta) ističe kružno gospodarstvo kao jedan od svojih prioriteta </w:t>
      </w:r>
      <w:r>
        <w:rPr>
          <w:rFonts w:ascii="Times New Roman" w:hAnsi="Times New Roman" w:cs="Times New Roman"/>
          <w:iCs/>
          <w:sz w:val="24"/>
          <w:szCs w:val="24"/>
        </w:rPr>
        <w:t>(Partnership on Circular Economy)</w:t>
      </w:r>
      <w:r>
        <w:rPr>
          <w:rFonts w:ascii="Times New Roman" w:hAnsi="Times New Roman" w:cs="Times New Roman"/>
          <w:sz w:val="24"/>
          <w:szCs w:val="24"/>
        </w:rPr>
        <w:t>. Partnerstvo za kružno gospodarstvo u dokumentu Akcijski plan za kružno gospodarstvo</w:t>
      </w:r>
      <w:r>
        <w:rPr>
          <w:rStyle w:val="Referencafusnote"/>
          <w:rFonts w:ascii="Times New Roman" w:hAnsi="Times New Roman" w:cs="Times New Roman"/>
          <w:sz w:val="24"/>
          <w:szCs w:val="24"/>
        </w:rPr>
        <w:footnoteReference w:id="11"/>
      </w:r>
      <w:r>
        <w:rPr>
          <w:rFonts w:ascii="Times New Roman" w:hAnsi="Times New Roman" w:cs="Times New Roman"/>
          <w:sz w:val="24"/>
          <w:szCs w:val="24"/>
        </w:rPr>
        <w:t xml:space="preserve"> ističe da će većina zgrada koje će se ovdje nalaziti 2050. godine već sada postoje u prostoru te će im biti potrebna obnova kako bi se postigli ciljevi smanjenja emisija CO</w:t>
      </w:r>
      <w:r>
        <w:rPr>
          <w:rFonts w:ascii="Times New Roman" w:hAnsi="Times New Roman" w:cs="Times New Roman"/>
          <w:sz w:val="24"/>
          <w:szCs w:val="24"/>
          <w:vertAlign w:val="subscript"/>
        </w:rPr>
        <w:t>2</w:t>
      </w:r>
      <w:r>
        <w:rPr>
          <w:rFonts w:ascii="Times New Roman" w:hAnsi="Times New Roman" w:cs="Times New Roman"/>
          <w:sz w:val="24"/>
          <w:szCs w:val="24"/>
        </w:rPr>
        <w:t>. Kontinuirano održavanje postojećih zgrada neophodno je kako bi se omogućilo kružno upravljanje i spriječio nastanak otpada, a postojeći građevinski fond bi trebao biti u odgovarajućoj namjeni. U ovoj novoj kružnoj viziji grada nekorištenu zgradu treba promatrati kao resurs, a rušenje izbjegavati. U tom smislu potrebno je razmatrati i inovativne oblike urbanog upravljanja na lokalnoj razini potrebne za promicanje tranzicije prema kružnom gradu, s posebnim naglaskom na jačanje zaposlenosti, pokretanje novih poduzeća i nove poslovne modele.</w:t>
      </w:r>
    </w:p>
    <w:p w14:paraId="45D05815" w14:textId="77777777" w:rsidR="00496804" w:rsidRDefault="00496804">
      <w:pPr>
        <w:pStyle w:val="tekst"/>
        <w:spacing w:line="240" w:lineRule="auto"/>
        <w:rPr>
          <w:rFonts w:ascii="Times New Roman" w:hAnsi="Times New Roman" w:cs="Times New Roman"/>
          <w:sz w:val="24"/>
          <w:szCs w:val="24"/>
        </w:rPr>
      </w:pPr>
    </w:p>
    <w:p w14:paraId="45D05816" w14:textId="2222292F" w:rsidR="00496804" w:rsidRDefault="0037359D">
      <w:pPr>
        <w:spacing w:line="240" w:lineRule="auto"/>
        <w:rPr>
          <w:rFonts w:ascii="Times New Roman" w:hAnsi="Times New Roman"/>
          <w:sz w:val="24"/>
        </w:rPr>
      </w:pPr>
      <w:r>
        <w:rPr>
          <w:rFonts w:ascii="Times New Roman" w:hAnsi="Times New Roman"/>
          <w:bCs/>
          <w:sz w:val="24"/>
        </w:rPr>
        <w:t>Teritorijalna agenda Europske unije 2020 (TA 2020)</w:t>
      </w:r>
      <w:r>
        <w:rPr>
          <w:rStyle w:val="Referencafusnote"/>
          <w:rFonts w:ascii="Times New Roman" w:hAnsi="Times New Roman"/>
          <w:sz w:val="24"/>
        </w:rPr>
        <w:footnoteReference w:id="12"/>
      </w:r>
      <w:r>
        <w:rPr>
          <w:rFonts w:ascii="Times New Roman" w:hAnsi="Times New Roman"/>
          <w:sz w:val="24"/>
        </w:rPr>
        <w:t xml:space="preserve"> iz 2007. godine, ističe da klimatske promjene mogu dovesti do novih mogućnosti razvoja, npr. u području poljoprivrede, zelenog gospodarstva i proizvodnje obnovljive energije, a mogućnosti regija u tom se smislu razlikuju. Ekološke vrijednosti, okolišna kakvoća i kulturna dobra ključna su za dobrobit i gospodarsk</w:t>
      </w:r>
      <w:r w:rsidR="00993EC1">
        <w:rPr>
          <w:rFonts w:ascii="Times New Roman" w:hAnsi="Times New Roman"/>
          <w:sz w:val="24"/>
        </w:rPr>
        <w:t>u</w:t>
      </w:r>
      <w:r>
        <w:rPr>
          <w:rFonts w:ascii="Times New Roman" w:hAnsi="Times New Roman"/>
          <w:sz w:val="24"/>
        </w:rPr>
        <w:t xml:space="preserve"> perspektiv</w:t>
      </w:r>
      <w:r w:rsidR="00993EC1">
        <w:rPr>
          <w:rFonts w:ascii="Times New Roman" w:hAnsi="Times New Roman"/>
          <w:sz w:val="24"/>
        </w:rPr>
        <w:t>u</w:t>
      </w:r>
      <w:r>
        <w:rPr>
          <w:rFonts w:ascii="Times New Roman" w:hAnsi="Times New Roman"/>
          <w:sz w:val="24"/>
        </w:rPr>
        <w:t>, a njihova prekomjerna eksploatacija kako bi se zadovoljila povećana potražnja</w:t>
      </w:r>
      <w:r w:rsidR="00993EC1">
        <w:rPr>
          <w:rFonts w:ascii="Times New Roman" w:hAnsi="Times New Roman"/>
          <w:sz w:val="24"/>
        </w:rPr>
        <w:t>,</w:t>
      </w:r>
      <w:r>
        <w:rPr>
          <w:rFonts w:ascii="Times New Roman" w:hAnsi="Times New Roman"/>
          <w:sz w:val="24"/>
        </w:rPr>
        <w:t xml:space="preserve"> kao i industrijski rizici, može uzrokovati značajnu štetu te može biti prijetnja teritorijalnom razvoju. </w:t>
      </w:r>
      <w:r w:rsidR="00CC2B22">
        <w:rPr>
          <w:rFonts w:ascii="Times New Roman" w:hAnsi="Times New Roman"/>
          <w:bCs/>
          <w:sz w:val="24"/>
        </w:rPr>
        <w:t xml:space="preserve">Teritorijalna </w:t>
      </w:r>
      <w:r w:rsidR="00CC2B22">
        <w:rPr>
          <w:rFonts w:ascii="Times New Roman" w:hAnsi="Times New Roman"/>
          <w:sz w:val="24"/>
        </w:rPr>
        <w:t>a</w:t>
      </w:r>
      <w:r w:rsidR="00CC2B22">
        <w:rPr>
          <w:rFonts w:ascii="Times New Roman" w:hAnsi="Times New Roman"/>
          <w:bCs/>
          <w:sz w:val="24"/>
        </w:rPr>
        <w:t xml:space="preserve">genda </w:t>
      </w:r>
      <w:r>
        <w:rPr>
          <w:rFonts w:ascii="Times New Roman" w:hAnsi="Times New Roman"/>
          <w:bCs/>
          <w:sz w:val="24"/>
        </w:rPr>
        <w:t>2030</w:t>
      </w:r>
      <w:r>
        <w:rPr>
          <w:rFonts w:ascii="Times New Roman" w:hAnsi="Times New Roman"/>
          <w:b/>
          <w:bCs/>
          <w:sz w:val="24"/>
        </w:rPr>
        <w:t xml:space="preserve"> </w:t>
      </w:r>
      <w:r>
        <w:rPr>
          <w:rFonts w:ascii="Times New Roman" w:hAnsi="Times New Roman"/>
          <w:bCs/>
          <w:sz w:val="24"/>
        </w:rPr>
        <w:t>(TA 2030)</w:t>
      </w:r>
      <w:r>
        <w:rPr>
          <w:rStyle w:val="Referencafusnote"/>
          <w:rFonts w:ascii="Times New Roman" w:hAnsi="Times New Roman"/>
          <w:sz w:val="24"/>
        </w:rPr>
        <w:footnoteReference w:id="13"/>
      </w:r>
      <w:r>
        <w:rPr>
          <w:rFonts w:ascii="Times New Roman" w:hAnsi="Times New Roman"/>
          <w:sz w:val="24"/>
        </w:rPr>
        <w:t xml:space="preserve">, predstavlja strateški okvir za prostorno planiranje s naglašenim teritorijalnim pristupom u svim razvojnim politikama. TA 2030 predstavlja reviziju TA 2020 iz 2007. godine, koja je dijelom izmijenjena 2011. godine te </w:t>
      </w:r>
      <w:r w:rsidR="002A57AB">
        <w:rPr>
          <w:rFonts w:ascii="Times New Roman" w:hAnsi="Times New Roman"/>
          <w:sz w:val="24"/>
        </w:rPr>
        <w:t>je usvojena</w:t>
      </w:r>
      <w:r>
        <w:rPr>
          <w:rFonts w:ascii="Times New Roman" w:hAnsi="Times New Roman"/>
          <w:sz w:val="24"/>
        </w:rPr>
        <w:t xml:space="preserve"> u prosincu 2020. godine tijekom predsjedanja Savezne Republike Njemačke Vijećem EU. TA 2030 želi omogućiti provedbeni okvir za potporu razvoju teritorijalne kohezije u Europi. Jedan od ciljeva je Zelena Europa koja između ostalog promovira prijelaz na kružno gospodarstvo unutar kojeg se planira razvoj snažnih i održivih lokalnih gospodarstva, te potpora izradi strategija za energetsku tranziciju i mjerama održivog razvoja u građevinskom, transportnom i bioekonomskom području.</w:t>
      </w:r>
    </w:p>
    <w:p w14:paraId="45D05817" w14:textId="77777777" w:rsidR="00496804" w:rsidRDefault="00496804">
      <w:pPr>
        <w:pStyle w:val="tekst"/>
        <w:spacing w:line="240" w:lineRule="auto"/>
        <w:rPr>
          <w:rFonts w:ascii="Times New Roman" w:hAnsi="Times New Roman" w:cs="Times New Roman"/>
          <w:sz w:val="24"/>
          <w:szCs w:val="24"/>
        </w:rPr>
      </w:pPr>
    </w:p>
    <w:p w14:paraId="45D05818" w14:textId="023337CF" w:rsidR="00496804" w:rsidRDefault="00C13A52">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 xml:space="preserve">Nova povelja </w:t>
      </w:r>
      <w:r w:rsidR="0037359D">
        <w:rPr>
          <w:rFonts w:ascii="Times New Roman" w:hAnsi="Times New Roman" w:cs="Times New Roman"/>
          <w:bCs/>
          <w:sz w:val="24"/>
          <w:szCs w:val="24"/>
        </w:rPr>
        <w:t>iz Leipziga</w:t>
      </w:r>
      <w:r w:rsidR="00FF0E17">
        <w:rPr>
          <w:rStyle w:val="Referencafusnote"/>
          <w:rFonts w:ascii="Times New Roman" w:hAnsi="Times New Roman" w:cs="Times New Roman"/>
          <w:bCs/>
          <w:sz w:val="24"/>
          <w:szCs w:val="24"/>
        </w:rPr>
        <w:footnoteReference w:id="14"/>
      </w:r>
      <w:r w:rsidR="0037359D">
        <w:rPr>
          <w:rFonts w:ascii="Times New Roman" w:hAnsi="Times New Roman" w:cs="Times New Roman"/>
          <w:sz w:val="24"/>
          <w:szCs w:val="24"/>
        </w:rPr>
        <w:t xml:space="preserve">, </w:t>
      </w:r>
      <w:r w:rsidR="00DF3A64">
        <w:rPr>
          <w:rFonts w:ascii="Times New Roman" w:hAnsi="Times New Roman" w:cs="Times New Roman"/>
          <w:sz w:val="24"/>
          <w:szCs w:val="24"/>
        </w:rPr>
        <w:t xml:space="preserve">usvojena </w:t>
      </w:r>
      <w:r w:rsidR="0037359D">
        <w:rPr>
          <w:rFonts w:ascii="Times New Roman" w:hAnsi="Times New Roman" w:cs="Times New Roman"/>
          <w:sz w:val="24"/>
          <w:szCs w:val="24"/>
        </w:rPr>
        <w:t xml:space="preserve">u </w:t>
      </w:r>
      <w:r w:rsidR="00DF3A64">
        <w:rPr>
          <w:rFonts w:ascii="Times New Roman" w:hAnsi="Times New Roman" w:cs="Times New Roman"/>
          <w:sz w:val="24"/>
          <w:szCs w:val="24"/>
        </w:rPr>
        <w:t xml:space="preserve">studenom </w:t>
      </w:r>
      <w:r w:rsidR="0037359D">
        <w:rPr>
          <w:rFonts w:ascii="Times New Roman" w:hAnsi="Times New Roman" w:cs="Times New Roman"/>
          <w:sz w:val="24"/>
          <w:szCs w:val="24"/>
        </w:rPr>
        <w:t xml:space="preserve">2020. godine tijekom predsjedanja </w:t>
      </w:r>
      <w:r w:rsidR="0037359D">
        <w:rPr>
          <w:rFonts w:ascii="Times New Roman" w:hAnsi="Times New Roman"/>
          <w:sz w:val="24"/>
        </w:rPr>
        <w:t xml:space="preserve">Savezne Republike Njemačke </w:t>
      </w:r>
      <w:r w:rsidR="0037359D">
        <w:rPr>
          <w:rFonts w:ascii="Times New Roman" w:hAnsi="Times New Roman" w:cs="Times New Roman"/>
          <w:sz w:val="24"/>
          <w:szCs w:val="24"/>
        </w:rPr>
        <w:t>Vijećem EU, nadovezuje se na Leipzišku povelju o održivim europskim gradovima usvojenu 2007. godine. Novi strateški dokument za razvoj urbanih područja ima i nadalje isti ključni cilj: promovirati integrirani urbani razvoj. Dokument sagledava nove okolnosti posebice vezano za klimatske promjene, demografske izazove i promjene u gospodarskim djelatnostima. Jedan od razvojnih smjerova koji doprinosi stvaranju otpornih urbanih područja je Učinkoviti grad (</w:t>
      </w:r>
      <w:r w:rsidR="0037359D" w:rsidRPr="00DE47F2">
        <w:rPr>
          <w:rFonts w:ascii="Times New Roman" w:hAnsi="Times New Roman" w:cs="Times New Roman"/>
          <w:sz w:val="24"/>
          <w:szCs w:val="24"/>
          <w:lang w:val="en-GB"/>
        </w:rPr>
        <w:t>Productive</w:t>
      </w:r>
      <w:r w:rsidR="0037359D">
        <w:rPr>
          <w:rFonts w:ascii="Times New Roman" w:hAnsi="Times New Roman" w:cs="Times New Roman"/>
          <w:sz w:val="24"/>
          <w:szCs w:val="24"/>
        </w:rPr>
        <w:t xml:space="preserve"> City), u kojem se navodi da u gradovima treba razvijati priuštive i pristupačne prostore (</w:t>
      </w:r>
      <w:r w:rsidR="0037359D" w:rsidRPr="00DE47F2">
        <w:rPr>
          <w:rFonts w:ascii="Times New Roman" w:hAnsi="Times New Roman" w:cs="Times New Roman"/>
          <w:sz w:val="24"/>
          <w:szCs w:val="24"/>
          <w:lang w:val="en-GB"/>
        </w:rPr>
        <w:t>affordable and accessible</w:t>
      </w:r>
      <w:r w:rsidR="0037359D">
        <w:rPr>
          <w:rFonts w:ascii="Times New Roman" w:hAnsi="Times New Roman" w:cs="Times New Roman"/>
          <w:sz w:val="24"/>
          <w:szCs w:val="24"/>
        </w:rPr>
        <w:t>), a integralni prostori su dio urbanog planiranja i doprinose razvoju kružnog gospodarstva.</w:t>
      </w:r>
    </w:p>
    <w:p w14:paraId="45D05819" w14:textId="77777777" w:rsidR="00496804" w:rsidRDefault="00496804">
      <w:pPr>
        <w:pStyle w:val="tekst"/>
        <w:spacing w:line="240" w:lineRule="auto"/>
        <w:rPr>
          <w:rFonts w:ascii="Times New Roman" w:hAnsi="Times New Roman" w:cs="Times New Roman"/>
          <w:sz w:val="24"/>
          <w:szCs w:val="24"/>
        </w:rPr>
      </w:pPr>
    </w:p>
    <w:p w14:paraId="45D0581A"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Navedeni prioriteti, kao i mnogi drugi, objedinjeni su krajem 2019. godine u </w:t>
      </w:r>
      <w:r>
        <w:rPr>
          <w:rFonts w:ascii="Times New Roman" w:hAnsi="Times New Roman" w:cs="Times New Roman"/>
          <w:bCs/>
          <w:sz w:val="24"/>
          <w:szCs w:val="24"/>
        </w:rPr>
        <w:t>Europskom zelenom planu (EZP)</w:t>
      </w:r>
      <w:r>
        <w:rPr>
          <w:rFonts w:ascii="Times New Roman" w:hAnsi="Times New Roman" w:cs="Times New Roman"/>
          <w:sz w:val="24"/>
          <w:szCs w:val="24"/>
        </w:rPr>
        <w:t xml:space="preserve">, koji je sastavni dio strategije EK za provedbu </w:t>
      </w:r>
      <w:r>
        <w:rPr>
          <w:rFonts w:ascii="Times New Roman" w:hAnsi="Times New Roman" w:cs="Times New Roman"/>
          <w:iCs/>
          <w:sz w:val="24"/>
          <w:szCs w:val="24"/>
        </w:rPr>
        <w:t>Programa</w:t>
      </w:r>
      <w:r>
        <w:rPr>
          <w:rFonts w:ascii="Times New Roman" w:hAnsi="Times New Roman" w:cs="Times New Roman"/>
          <w:i/>
          <w:iCs/>
          <w:sz w:val="24"/>
          <w:szCs w:val="24"/>
        </w:rPr>
        <w:t xml:space="preserve"> </w:t>
      </w:r>
      <w:r>
        <w:rPr>
          <w:rFonts w:ascii="Times New Roman" w:hAnsi="Times New Roman" w:cs="Times New Roman"/>
          <w:iCs/>
          <w:sz w:val="24"/>
          <w:szCs w:val="24"/>
        </w:rPr>
        <w:t>2030</w:t>
      </w:r>
      <w:r>
        <w:rPr>
          <w:rFonts w:ascii="Times New Roman" w:hAnsi="Times New Roman" w:cs="Times New Roman"/>
          <w:i/>
          <w:iCs/>
          <w:sz w:val="24"/>
          <w:szCs w:val="24"/>
        </w:rPr>
        <w:t>.</w:t>
      </w:r>
      <w:r>
        <w:rPr>
          <w:rFonts w:ascii="Times New Roman" w:hAnsi="Times New Roman" w:cs="Times New Roman"/>
          <w:sz w:val="24"/>
          <w:szCs w:val="24"/>
        </w:rPr>
        <w:t xml:space="preserve"> i ciljeva održivog razvoja, te drugih prioriteta kojima se predviđa niz mjera sa ciljem postizanja klimatski neutralne Europe do 2050. godine. To je nova strategija rasta kojom se EU nastoji preobraziti u pravedno i prosperitetno društvo s modernim, resursno učinkovitim i konkurentnim gospodarstvom u kojem 2050. godine neće biti neto emisija stakleničkih plinova i u kojem gospodarski rast nije povezan s upotrebom resursa. Mjere koje su predviđene usmjerene su na dekarbonizaciju sektora energetike, obnovu građevnog fonda, inovacije i razvoj industrije i temu mobilnosti EZP, Područje politike ”</w:t>
      </w:r>
      <w:r>
        <w:t xml:space="preserve"> </w:t>
      </w:r>
      <w:r>
        <w:rPr>
          <w:rFonts w:ascii="Times New Roman" w:hAnsi="Times New Roman" w:cs="Times New Roman"/>
          <w:sz w:val="24"/>
          <w:szCs w:val="24"/>
        </w:rPr>
        <w:t>Izgradnja i obnova uz učinkovitu upotrebu energije i resursa”. EZP stoga osigurava paket mjera koji bi građanima i poduzećima u Europi trebao omogućiti koristi od održive zelene tranzicije, a plan je poticati rast kroz ulaganja u zelene tehnologije, održiva rješenja i nova poduzeća, osiguravajući potporu i sudjelovanje javnosti i svih dionika.</w:t>
      </w:r>
    </w:p>
    <w:p w14:paraId="45D0581B" w14:textId="77777777" w:rsidR="00496804" w:rsidRDefault="00496804">
      <w:pPr>
        <w:pStyle w:val="tekst"/>
        <w:spacing w:line="240" w:lineRule="auto"/>
        <w:rPr>
          <w:rFonts w:ascii="Times New Roman" w:hAnsi="Times New Roman" w:cs="Times New Roman"/>
          <w:sz w:val="24"/>
          <w:szCs w:val="24"/>
        </w:rPr>
      </w:pPr>
    </w:p>
    <w:p w14:paraId="45D0581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EK je 2015. godine usvojila Komunikaciju Komisije Europskom parlamentu, Vijeću, Europskom gospodarskom i socijalnom odboru i Odboru regija: Zatvaranje kruga — akcijski plan EU-a za kružno gospodarstvo </w:t>
      </w:r>
      <w:bookmarkStart w:id="28" w:name="_Hlk51245525"/>
      <w:r>
        <w:rPr>
          <w:rFonts w:ascii="Times New Roman" w:hAnsi="Times New Roman" w:cs="Times New Roman"/>
          <w:sz w:val="24"/>
          <w:szCs w:val="24"/>
        </w:rPr>
        <w:t>(COM(2015) 614 final) od 2.12.2015. godine</w:t>
      </w:r>
      <w:bookmarkEnd w:id="28"/>
      <w:r>
        <w:rPr>
          <w:rStyle w:val="Referencafusnote"/>
          <w:rFonts w:ascii="Times New Roman" w:hAnsi="Times New Roman" w:cs="Times New Roman"/>
          <w:bCs/>
          <w:sz w:val="24"/>
          <w:szCs w:val="24"/>
        </w:rPr>
        <w:footnoteReference w:id="15"/>
      </w:r>
      <w:r>
        <w:rPr>
          <w:rFonts w:ascii="Times New Roman" w:hAnsi="Times New Roman" w:cs="Times New Roman"/>
          <w:sz w:val="24"/>
          <w:szCs w:val="24"/>
        </w:rPr>
        <w:t xml:space="preserve"> kako bi iznova potaknula zapošljavanje, rast i ulaganja te razvila ugljično neutralno, resursno učinkovito i konkurentno gospodarstvo. Na temelju tog akcijskog plana dosad su dovršene ili se trenutačno provode 54 mjere. U ožujku 2020. godine EK objavljuje Komunikaciju Komisije Europskom parlamentu, Vijeću, Europskom gospodarskom i socijalnom odboru i Odboru regija: </w:t>
      </w:r>
      <w:r>
        <w:rPr>
          <w:rFonts w:ascii="Times New Roman" w:hAnsi="Times New Roman" w:cs="Times New Roman"/>
          <w:bCs/>
          <w:sz w:val="24"/>
          <w:szCs w:val="24"/>
        </w:rPr>
        <w:t>Novi akcijski plan za kružno gospodarstvo - Za čišću i konkurentniju Europu</w:t>
      </w:r>
      <w:r>
        <w:rPr>
          <w:rStyle w:val="Referencafusnote"/>
          <w:rFonts w:ascii="Times New Roman" w:hAnsi="Times New Roman" w:cs="Times New Roman"/>
          <w:bCs/>
          <w:sz w:val="24"/>
          <w:szCs w:val="24"/>
          <w:vertAlign w:val="baseline"/>
        </w:rPr>
        <w:t xml:space="preserve"> </w:t>
      </w:r>
      <w:r>
        <w:rPr>
          <w:rFonts w:ascii="Times New Roman" w:hAnsi="Times New Roman" w:cs="Times New Roman"/>
          <w:bCs/>
          <w:sz w:val="24"/>
          <w:szCs w:val="24"/>
        </w:rPr>
        <w:t>(COM(2020) 98 final) od 11.3.2020. godine</w:t>
      </w:r>
      <w:r>
        <w:rPr>
          <w:rStyle w:val="Referencafusnote"/>
          <w:rFonts w:ascii="Times New Roman" w:hAnsi="Times New Roman" w:cs="Times New Roman"/>
          <w:bCs/>
          <w:sz w:val="24"/>
          <w:szCs w:val="24"/>
        </w:rPr>
        <w:footnoteReference w:id="16"/>
      </w:r>
      <w:r>
        <w:rPr>
          <w:rFonts w:ascii="Times New Roman" w:hAnsi="Times New Roman" w:cs="Times New Roman"/>
          <w:sz w:val="24"/>
          <w:szCs w:val="24"/>
        </w:rPr>
        <w:t xml:space="preserve"> u sklopu industrijske strategije EU-a. Novi akcijski plan će poslužiti za tranziciju svih sektora, a djelovanje će se posebno usmjeriti na resursno intenzivne sektore, kao što su tekstilni sektor i građevinarstvo. Novi akcijski plan ističe da će EK pokrenuti novu sveobuhvatnu strategiju za održivi izgrađeni okoliš koja će osigurati horizontalnu usklađenost relevantnih područja politike i promicati načela kružnosti tijekom c</w:t>
      </w:r>
      <w:r>
        <w:rPr>
          <w:rFonts w:ascii="Times New Roman" w:hAnsi="Times New Roman"/>
          <w:sz w:val="24"/>
          <w:szCs w:val="24"/>
        </w:rPr>
        <w:t>jeloživotnog</w:t>
      </w:r>
      <w:r>
        <w:rPr>
          <w:rFonts w:ascii="Times New Roman" w:hAnsi="Times New Roman" w:cs="Times New Roman"/>
          <w:sz w:val="24"/>
          <w:szCs w:val="24"/>
        </w:rPr>
        <w:t xml:space="preserve"> vijeka zgrada, a što će podrazumijevati usmjeravanje na stupanj održivosti građevnih proizvoda, promicanje mjera za poboljšanje trajnosti i prilagodljivosti izgrađene imovine u skladu s načelima kružnog gospodarstva za projektiranje zgrada, razvoj digitalnih očevidnika, primjenu okvira za izvješćivanje Level(s)</w:t>
      </w:r>
      <w:r>
        <w:rPr>
          <w:rStyle w:val="Referencafusnote"/>
          <w:rFonts w:ascii="Times New Roman" w:hAnsi="Times New Roman" w:cs="Times New Roman"/>
          <w:sz w:val="24"/>
          <w:szCs w:val="24"/>
        </w:rPr>
        <w:footnoteReference w:id="17"/>
      </w:r>
      <w:r>
        <w:rPr>
          <w:rFonts w:ascii="Times New Roman" w:hAnsi="Times New Roman" w:cs="Times New Roman"/>
          <w:sz w:val="24"/>
          <w:szCs w:val="24"/>
        </w:rPr>
        <w:t xml:space="preserve">. </w:t>
      </w:r>
    </w:p>
    <w:p w14:paraId="45D0581D" w14:textId="77777777" w:rsidR="00496804" w:rsidRDefault="00496804">
      <w:pPr>
        <w:pStyle w:val="tekst"/>
        <w:spacing w:line="240" w:lineRule="auto"/>
        <w:rPr>
          <w:rFonts w:ascii="Times New Roman" w:hAnsi="Times New Roman"/>
          <w:sz w:val="24"/>
          <w:szCs w:val="24"/>
        </w:rPr>
      </w:pPr>
    </w:p>
    <w:p w14:paraId="45D0581E" w14:textId="5F2A7DA1"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lastRenderedPageBreak/>
        <w:t>Inicijativa „val obnove“ provodit će se u skladu s načelima kružnog gospodarstva, odnosno produženjem c</w:t>
      </w:r>
      <w:r>
        <w:rPr>
          <w:rFonts w:ascii="Times New Roman" w:hAnsi="Times New Roman"/>
          <w:sz w:val="24"/>
        </w:rPr>
        <w:t>jeloživotnog</w:t>
      </w:r>
      <w:r>
        <w:rPr>
          <w:rFonts w:ascii="Times New Roman" w:hAnsi="Times New Roman" w:cs="Times New Roman"/>
          <w:sz w:val="24"/>
          <w:szCs w:val="24"/>
        </w:rPr>
        <w:t xml:space="preserve"> vijeka zgrada i poboljšanjem njihove učinkovitosti.</w:t>
      </w:r>
    </w:p>
    <w:p w14:paraId="45D0581F" w14:textId="77777777" w:rsidR="00496804" w:rsidRDefault="00496804">
      <w:pPr>
        <w:pStyle w:val="tekst"/>
        <w:spacing w:line="240" w:lineRule="auto"/>
        <w:rPr>
          <w:rFonts w:ascii="Times New Roman" w:hAnsi="Times New Roman" w:cs="Times New Roman"/>
          <w:sz w:val="24"/>
          <w:szCs w:val="24"/>
        </w:rPr>
      </w:pPr>
    </w:p>
    <w:p w14:paraId="45D05820" w14:textId="3949BF3F"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Slijedeći principe postavljene Komunikacijom Komisije Europskom parlamentu i Vijeću: </w:t>
      </w:r>
      <w:r>
        <w:rPr>
          <w:rFonts w:ascii="Times New Roman" w:hAnsi="Times New Roman" w:cs="Times New Roman"/>
          <w:bCs/>
          <w:iCs/>
          <w:sz w:val="24"/>
          <w:szCs w:val="24"/>
        </w:rPr>
        <w:t>Strategija za održivu konkurentnost građevinskog sektora i poduzeća u tom sektoru (COM(2012) 0433 final) od 31.7.2012. godine</w:t>
      </w:r>
      <w:r>
        <w:rPr>
          <w:rStyle w:val="Referencafusnote"/>
          <w:rFonts w:ascii="Times New Roman" w:hAnsi="Times New Roman" w:cs="Times New Roman"/>
          <w:bCs/>
          <w:sz w:val="24"/>
          <w:szCs w:val="24"/>
        </w:rPr>
        <w:footnoteReference w:id="18"/>
      </w:r>
      <w:r>
        <w:rPr>
          <w:rFonts w:ascii="Times New Roman" w:hAnsi="Times New Roman" w:cs="Times New Roman"/>
          <w:bCs/>
          <w:sz w:val="24"/>
          <w:szCs w:val="24"/>
        </w:rPr>
        <w:t xml:space="preserve"> </w:t>
      </w:r>
      <w:r>
        <w:rPr>
          <w:rFonts w:ascii="Times New Roman" w:hAnsi="Times New Roman" w:cs="Times New Roman"/>
          <w:sz w:val="24"/>
          <w:szCs w:val="24"/>
        </w:rPr>
        <w:t xml:space="preserve">i nakon najave </w:t>
      </w:r>
      <w:r>
        <w:rPr>
          <w:rFonts w:ascii="Times New Roman" w:hAnsi="Times New Roman" w:cs="Times New Roman"/>
          <w:bCs/>
          <w:iCs/>
          <w:sz w:val="24"/>
          <w:szCs w:val="24"/>
        </w:rPr>
        <w:t>Paketa za čistu energiju</w:t>
      </w:r>
      <w:r>
        <w:rPr>
          <w:rStyle w:val="Referencafusnote"/>
          <w:rFonts w:ascii="Times New Roman" w:hAnsi="Times New Roman" w:cs="Times New Roman"/>
          <w:sz w:val="24"/>
          <w:szCs w:val="24"/>
        </w:rPr>
        <w:footnoteReference w:id="19"/>
      </w:r>
      <w:r>
        <w:rPr>
          <w:rFonts w:ascii="Times New Roman" w:hAnsi="Times New Roman" w:cs="Times New Roman"/>
          <w:sz w:val="24"/>
          <w:szCs w:val="24"/>
        </w:rPr>
        <w:t xml:space="preserve"> i </w:t>
      </w:r>
      <w:r>
        <w:rPr>
          <w:rFonts w:ascii="Times New Roman" w:hAnsi="Times New Roman" w:cs="Times New Roman"/>
          <w:bCs/>
          <w:iCs/>
          <w:sz w:val="24"/>
          <w:szCs w:val="24"/>
        </w:rPr>
        <w:t>EU protokola i smjernica za gradnju i upravljanjem građevnim otpadom</w:t>
      </w:r>
      <w:r>
        <w:rPr>
          <w:rStyle w:val="Referencafusnote"/>
          <w:rFonts w:ascii="Times New Roman" w:hAnsi="Times New Roman" w:cs="Times New Roman"/>
          <w:sz w:val="24"/>
          <w:szCs w:val="24"/>
        </w:rPr>
        <w:footnoteReference w:id="20"/>
      </w:r>
      <w:r>
        <w:rPr>
          <w:rFonts w:ascii="Times New Roman" w:hAnsi="Times New Roman" w:cs="Times New Roman"/>
          <w:sz w:val="24"/>
          <w:szCs w:val="24"/>
        </w:rPr>
        <w:t xml:space="preserve">, kao dodatna mjera smanjivanja nastanka građevnog otpada pokrenuta je inicijativa izrade principa održivog dizajna zgrada, usmjerena upravo na metode smanjivanja nastanka građevnog otpada te poticanja upotrebe korištenih ili oporabljenih građevnih materijala, proizvoda i građevnih elemenata, objedinjenih u dokumentu </w:t>
      </w:r>
      <w:r>
        <w:rPr>
          <w:rFonts w:ascii="Times New Roman" w:hAnsi="Times New Roman" w:cs="Times New Roman"/>
          <w:bCs/>
          <w:sz w:val="24"/>
          <w:szCs w:val="24"/>
        </w:rPr>
        <w:t>Principi kružnog gospodarenja u dizajnu zgrada</w:t>
      </w:r>
      <w:r>
        <w:rPr>
          <w:rStyle w:val="Referencafusnote"/>
          <w:rFonts w:ascii="Times New Roman" w:hAnsi="Times New Roman" w:cs="Times New Roman"/>
          <w:sz w:val="24"/>
          <w:szCs w:val="24"/>
        </w:rPr>
        <w:footnoteReference w:id="21"/>
      </w:r>
      <w:r>
        <w:rPr>
          <w:rFonts w:ascii="Times New Roman" w:hAnsi="Times New Roman" w:cs="Times New Roman"/>
          <w:sz w:val="24"/>
          <w:szCs w:val="24"/>
        </w:rPr>
        <w:t>. Ciljevi ovog</w:t>
      </w:r>
      <w:r w:rsidR="005C1111">
        <w:rPr>
          <w:rFonts w:ascii="Times New Roman" w:hAnsi="Times New Roman" w:cs="Times New Roman"/>
          <w:sz w:val="24"/>
          <w:szCs w:val="24"/>
        </w:rPr>
        <w:t>a</w:t>
      </w:r>
      <w:r>
        <w:rPr>
          <w:rFonts w:ascii="Times New Roman" w:hAnsi="Times New Roman" w:cs="Times New Roman"/>
          <w:sz w:val="24"/>
          <w:szCs w:val="24"/>
        </w:rPr>
        <w:t xml:space="preserve"> dokumenta su definiranje i informiranje dionika građevinskog sektora, te formiranje osnovnih načela za kružno oblikovanje zgrada.</w:t>
      </w:r>
    </w:p>
    <w:p w14:paraId="45D05821" w14:textId="70379E88" w:rsidR="00496804" w:rsidRDefault="0037359D">
      <w:pPr>
        <w:pStyle w:val="tekst"/>
        <w:spacing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rPr>
        <w:t xml:space="preserve">Direktiva 2012/27/EU Europskog parlamenta i Vijeća </w:t>
      </w:r>
      <w:r>
        <w:rPr>
          <w:rFonts w:ascii="Times New Roman" w:hAnsi="Times New Roman" w:cs="Times New Roman"/>
          <w:sz w:val="24"/>
          <w:szCs w:val="24"/>
        </w:rPr>
        <w:t xml:space="preserve">od 25. listopada 2012. </w:t>
      </w:r>
      <w:r>
        <w:rPr>
          <w:rFonts w:ascii="Times New Roman" w:hAnsi="Times New Roman" w:cs="Times New Roman"/>
          <w:bCs/>
          <w:sz w:val="24"/>
          <w:szCs w:val="24"/>
        </w:rPr>
        <w:t xml:space="preserve">o energetskoj učinkovitosti, </w:t>
      </w:r>
      <w:r>
        <w:rPr>
          <w:rFonts w:ascii="Times New Roman" w:hAnsi="Times New Roman" w:cs="Times New Roman"/>
          <w:sz w:val="24"/>
          <w:szCs w:val="24"/>
        </w:rPr>
        <w:t xml:space="preserve">izmjeni direktiva 2009/125/EZ i 2010/30/EU i stavljanju izvan snage direktiva 2004/8/EZ i 2006/32/EZ </w:t>
      </w:r>
      <w:bookmarkStart w:id="30" w:name="_Hlk51248276"/>
      <w:r>
        <w:rPr>
          <w:rFonts w:ascii="Times New Roman" w:hAnsi="Times New Roman" w:cs="Times New Roman"/>
          <w:sz w:val="24"/>
          <w:szCs w:val="24"/>
        </w:rPr>
        <w:t>(Tekst značajan za EGP)</w:t>
      </w:r>
      <w:r>
        <w:rPr>
          <w:rStyle w:val="Referencafusnote"/>
          <w:rFonts w:ascii="Times New Roman" w:hAnsi="Times New Roman" w:cs="Times New Roman"/>
          <w:sz w:val="24"/>
          <w:szCs w:val="24"/>
        </w:rPr>
        <w:t xml:space="preserve"> </w:t>
      </w:r>
      <w:r>
        <w:rPr>
          <w:rFonts w:ascii="Times New Roman" w:hAnsi="Times New Roman" w:cs="Times New Roman"/>
          <w:sz w:val="24"/>
          <w:szCs w:val="24"/>
        </w:rPr>
        <w:t>(SL L 315, 14.11.2012.)</w:t>
      </w:r>
      <w:bookmarkEnd w:id="30"/>
      <w:r>
        <w:rPr>
          <w:rStyle w:val="Referencafusnote"/>
          <w:rFonts w:ascii="Times New Roman" w:hAnsi="Times New Roman" w:cs="Times New Roman"/>
          <w:sz w:val="24"/>
          <w:szCs w:val="24"/>
        </w:rPr>
        <w:footnoteReference w:id="22"/>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od država članica zahtijeva utvrđivanje okvirnih nacionalnih ciljeva u pogledu energetske učinkovitosti kojima će se zajamčiti postizanje glavnog cilja EU-a. Dugoročni cilj EU je smanjiti emisije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iz sektora zgradarstva od 80-95% do 2050. </w:t>
      </w:r>
      <w:bookmarkStart w:id="31" w:name="_Hlk37755495"/>
      <w:r>
        <w:rPr>
          <w:rFonts w:ascii="Times New Roman" w:hAnsi="Times New Roman" w:cs="Times New Roman"/>
          <w:sz w:val="24"/>
          <w:szCs w:val="24"/>
        </w:rPr>
        <w:t xml:space="preserve">Direktiva (EU) </w:t>
      </w:r>
      <w:bookmarkStart w:id="32" w:name="_Hlk38262302"/>
      <w:r>
        <w:rPr>
          <w:rFonts w:ascii="Times New Roman" w:hAnsi="Times New Roman" w:cs="Times New Roman"/>
          <w:sz w:val="24"/>
          <w:szCs w:val="24"/>
        </w:rPr>
        <w:t>2018/844</w:t>
      </w:r>
      <w:r>
        <w:rPr>
          <w:rFonts w:ascii="Times New Roman" w:hAnsi="Times New Roman" w:cs="Times New Roman"/>
          <w:bCs/>
          <w:sz w:val="24"/>
          <w:szCs w:val="24"/>
        </w:rPr>
        <w:t xml:space="preserve"> Europskog parlamenta i Vijeća od 30. svibnja 2018. </w:t>
      </w:r>
      <w:r>
        <w:rPr>
          <w:rFonts w:ascii="Times New Roman" w:hAnsi="Times New Roman" w:cs="Times New Roman"/>
          <w:sz w:val="24"/>
          <w:szCs w:val="24"/>
        </w:rPr>
        <w:t>o izmjeni Direktive 2010/31/EU o energetskim svojstvima zgrada i Direktive 2012/27/EU o energetskoj učinkovitosti</w:t>
      </w:r>
      <w:bookmarkEnd w:id="31"/>
      <w:bookmarkEnd w:id="32"/>
      <w:r>
        <w:rPr>
          <w:rFonts w:ascii="Times New Roman" w:hAnsi="Times New Roman" w:cs="Times New Roman"/>
          <w:sz w:val="24"/>
          <w:szCs w:val="24"/>
        </w:rPr>
        <w:t xml:space="preserve"> (Tekst značajan za EGP) (SL L 156, 19.6.2018.)</w:t>
      </w:r>
      <w:r>
        <w:rPr>
          <w:rStyle w:val="Referencafusnote"/>
          <w:rFonts w:ascii="Times New Roman" w:hAnsi="Times New Roman" w:cs="Times New Roman"/>
          <w:sz w:val="24"/>
          <w:szCs w:val="24"/>
        </w:rPr>
        <w:footnoteReference w:id="23"/>
      </w:r>
      <w:r w:rsidR="00F12395">
        <w:rPr>
          <w:rFonts w:ascii="Times New Roman" w:hAnsi="Times New Roman" w:cs="Times New Roman"/>
          <w:sz w:val="24"/>
          <w:szCs w:val="24"/>
        </w:rPr>
        <w:t xml:space="preserve"> (u daljnjem tekstu: Direktiva (EU) 2018/844)</w:t>
      </w:r>
      <w:r>
        <w:rPr>
          <w:rFonts w:ascii="Times New Roman" w:hAnsi="Times New Roman" w:cs="Times New Roman"/>
          <w:sz w:val="24"/>
          <w:szCs w:val="24"/>
        </w:rPr>
        <w:t xml:space="preserve">, obvezuje države članice na izradu dugoročnih strategija obnove. U pogledu novih zgrada i zgrada koje se podvrgavaju većoj rekonstrukciji, države članice trebale bi poticati visokoučinkovite alternativne sustave ako je to tehnički, funkcionalno i gospodarski izvedivo, istodobno uzimajući u obzir pitanja u vezi sa zdravim unutarnjim klimatskim uvjetima, zaštitom od požara i rizicima povezanima s pojačanom seizmičkom aktivnošću, u skladu s nacionalnim sigurnosnim propisima. Rješenjima temeljenima na prirodi, kao što su dobro osmišljeno ulično zelenilo, zeleni krovovi i zidovi koji zgradama pružaju izolaciju i hlad, doprinosi se smanjenju potražnje za energijom i na taj način ograničava se potreba za grijanjem i hlađenjem te poboljšavaju energetska svojstva zgrade. </w:t>
      </w:r>
    </w:p>
    <w:p w14:paraId="45D05822" w14:textId="77777777" w:rsidR="00496804" w:rsidRDefault="00496804">
      <w:pPr>
        <w:pStyle w:val="tekst"/>
        <w:spacing w:line="240" w:lineRule="auto"/>
        <w:rPr>
          <w:rFonts w:ascii="Times New Roman" w:hAnsi="Times New Roman" w:cs="Times New Roman"/>
          <w:sz w:val="24"/>
          <w:szCs w:val="24"/>
          <w:shd w:val="clear" w:color="auto" w:fill="FFFFFF"/>
        </w:rPr>
      </w:pPr>
    </w:p>
    <w:p w14:paraId="45D0582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w:t>
      </w:r>
      <w:bookmarkStart w:id="34" w:name="_Hlk51314134"/>
      <w:r>
        <w:rPr>
          <w:rFonts w:ascii="Times New Roman" w:hAnsi="Times New Roman" w:cs="Times New Roman"/>
          <w:sz w:val="24"/>
          <w:szCs w:val="24"/>
        </w:rPr>
        <w:t>Izvješću komisije Europskom parlamentu, Vijeću, Europskom gospodarskom i socijalnom odboru, Europskom odboru regija i Europskoj investicijskoj banci:</w:t>
      </w:r>
      <w:r>
        <w:rPr>
          <w:rFonts w:ascii="Times New Roman" w:hAnsi="Times New Roman" w:cs="Times New Roman"/>
          <w:bCs/>
          <w:sz w:val="24"/>
          <w:szCs w:val="24"/>
        </w:rPr>
        <w:t xml:space="preserve"> Četvrto izvješće o stanju energetske unije (COM(2019) 175 final) od 9.4.2019. godine</w:t>
      </w:r>
      <w:bookmarkEnd w:id="34"/>
      <w:r>
        <w:rPr>
          <w:rStyle w:val="Referencafusnote"/>
          <w:rFonts w:ascii="Times New Roman" w:hAnsi="Times New Roman" w:cs="Times New Roman"/>
          <w:sz w:val="24"/>
          <w:szCs w:val="24"/>
        </w:rPr>
        <w:footnoteReference w:id="24"/>
      </w:r>
      <w:r>
        <w:rPr>
          <w:rFonts w:ascii="Times New Roman" w:hAnsi="Times New Roman" w:cs="Times New Roman"/>
          <w:sz w:val="24"/>
          <w:szCs w:val="24"/>
        </w:rPr>
        <w:t xml:space="preserve"> EK navodi da je potpuna</w:t>
      </w:r>
      <w:r>
        <w:rPr>
          <w:rFonts w:ascii="Times New Roman" w:hAnsi="Times New Roman" w:cs="Times New Roman"/>
          <w:b/>
          <w:bCs/>
          <w:i/>
          <w:iCs/>
          <w:sz w:val="24"/>
          <w:szCs w:val="24"/>
        </w:rPr>
        <w:t xml:space="preserve"> </w:t>
      </w:r>
      <w:r>
        <w:rPr>
          <w:rFonts w:ascii="Times New Roman" w:hAnsi="Times New Roman" w:cs="Times New Roman"/>
          <w:sz w:val="24"/>
          <w:szCs w:val="24"/>
        </w:rPr>
        <w:t>provedba pristupa kružnog gospodarstva ključna i za dekarbonizaciju europskog gospodarstva, osobito energetski intenzivnih sektora kao što su čelik, cement ili staklo, uz zadržavanje ili povećanje njegove konkurentnosti. Ponovna upotreba i recikliranje sirovina dovode do smanjenja emisija stakleničkih plinova i smanjenja ovisnosti Europe o opskrbi sirovinama.</w:t>
      </w:r>
    </w:p>
    <w:p w14:paraId="45D05824" w14:textId="77777777" w:rsidR="00496804" w:rsidRDefault="00496804">
      <w:pPr>
        <w:pStyle w:val="tekst"/>
        <w:spacing w:line="240" w:lineRule="auto"/>
        <w:rPr>
          <w:rFonts w:ascii="Times New Roman" w:hAnsi="Times New Roman" w:cs="Times New Roman"/>
          <w:sz w:val="24"/>
          <w:szCs w:val="24"/>
        </w:rPr>
      </w:pPr>
    </w:p>
    <w:p w14:paraId="45D05825" w14:textId="660D34AD" w:rsidR="00496804" w:rsidRDefault="00E57F2B">
      <w:pPr>
        <w:pStyle w:val="tekst"/>
        <w:spacing w:line="240" w:lineRule="auto"/>
        <w:rPr>
          <w:rFonts w:ascii="Times New Roman" w:hAnsi="Times New Roman" w:cs="Times New Roman"/>
          <w:sz w:val="24"/>
          <w:szCs w:val="24"/>
        </w:rPr>
      </w:pPr>
      <w:r w:rsidRPr="00416CC2">
        <w:rPr>
          <w:rFonts w:ascii="Times New Roman" w:hAnsi="Times New Roman" w:cs="Times New Roman"/>
          <w:sz w:val="24"/>
          <w:szCs w:val="24"/>
        </w:rPr>
        <w:lastRenderedPageBreak/>
        <w:t>Uredb</w:t>
      </w:r>
      <w:r>
        <w:rPr>
          <w:rFonts w:ascii="Times New Roman" w:hAnsi="Times New Roman" w:cs="Times New Roman"/>
          <w:sz w:val="24"/>
          <w:szCs w:val="24"/>
        </w:rPr>
        <w:t xml:space="preserve">a </w:t>
      </w:r>
      <w:r w:rsidRPr="000D5BEE">
        <w:rPr>
          <w:rFonts w:ascii="Times New Roman" w:hAnsi="Times New Roman" w:cs="Times New Roman"/>
          <w:sz w:val="24"/>
          <w:szCs w:val="24"/>
        </w:rPr>
        <w:t xml:space="preserve">(EU) 2021/1058 </w:t>
      </w:r>
      <w:r w:rsidRPr="00C72EC6">
        <w:rPr>
          <w:rFonts w:ascii="Times New Roman" w:hAnsi="Times New Roman" w:cs="Times New Roman"/>
          <w:sz w:val="24"/>
          <w:szCs w:val="24"/>
        </w:rPr>
        <w:t>Europskog Parlamenta i Vijeća od 24. lipnja 2021. o Europskom fondu za regionalni razvoj i Kohezijskom fondu</w:t>
      </w:r>
      <w:r>
        <w:rPr>
          <w:rStyle w:val="Referencafusnote"/>
          <w:rFonts w:ascii="Times New Roman" w:hAnsi="Times New Roman" w:cs="Times New Roman"/>
          <w:sz w:val="24"/>
          <w:szCs w:val="24"/>
        </w:rPr>
        <w:footnoteReference w:id="25"/>
      </w:r>
      <w:r>
        <w:rPr>
          <w:rFonts w:ascii="Times New Roman" w:hAnsi="Times New Roman" w:cs="Times New Roman"/>
          <w:sz w:val="24"/>
          <w:szCs w:val="24"/>
        </w:rPr>
        <w:t xml:space="preserve"> (</w:t>
      </w:r>
      <w:r w:rsidRPr="00406457">
        <w:rPr>
          <w:rFonts w:ascii="Times New Roman" w:hAnsi="Times New Roman" w:cs="Times New Roman"/>
          <w:sz w:val="24"/>
          <w:szCs w:val="24"/>
        </w:rPr>
        <w:t>S</w:t>
      </w:r>
      <w:r w:rsidR="005C1111">
        <w:rPr>
          <w:rFonts w:ascii="Times New Roman" w:hAnsi="Times New Roman" w:cs="Times New Roman"/>
          <w:sz w:val="24"/>
          <w:szCs w:val="24"/>
        </w:rPr>
        <w:t>L</w:t>
      </w:r>
      <w:r>
        <w:rPr>
          <w:rFonts w:ascii="Times New Roman" w:hAnsi="Times New Roman" w:cs="Times New Roman"/>
          <w:sz w:val="24"/>
          <w:szCs w:val="24"/>
        </w:rPr>
        <w:t xml:space="preserve"> </w:t>
      </w:r>
      <w:r w:rsidRPr="00406457">
        <w:rPr>
          <w:rFonts w:ascii="Times New Roman" w:hAnsi="Times New Roman" w:cs="Times New Roman"/>
          <w:sz w:val="24"/>
          <w:szCs w:val="24"/>
        </w:rPr>
        <w:t>L 231</w:t>
      </w:r>
      <w:r w:rsidR="005C1111">
        <w:rPr>
          <w:rFonts w:ascii="Times New Roman" w:hAnsi="Times New Roman" w:cs="Times New Roman"/>
          <w:sz w:val="24"/>
          <w:szCs w:val="24"/>
        </w:rPr>
        <w:t>, 30.6.2021.</w:t>
      </w:r>
      <w:r>
        <w:rPr>
          <w:rFonts w:ascii="Times New Roman" w:hAnsi="Times New Roman" w:cs="Times New Roman"/>
          <w:sz w:val="24"/>
          <w:szCs w:val="24"/>
        </w:rPr>
        <w:t>)</w:t>
      </w:r>
      <w:r w:rsidRPr="00C72EC6">
        <w:rPr>
          <w:rFonts w:ascii="Times New Roman" w:hAnsi="Times New Roman" w:cs="Times New Roman"/>
          <w:sz w:val="24"/>
          <w:szCs w:val="24"/>
        </w:rPr>
        <w:t xml:space="preserve">, </w:t>
      </w:r>
      <w:r w:rsidRPr="00416CC2">
        <w:rPr>
          <w:rFonts w:ascii="Times New Roman" w:hAnsi="Times New Roman" w:cs="Times New Roman"/>
          <w:sz w:val="24"/>
          <w:szCs w:val="24"/>
        </w:rPr>
        <w:t>za programsko razdoblje 2021-2027,</w:t>
      </w:r>
      <w:r w:rsidR="00DC13EE">
        <w:rPr>
          <w:rFonts w:ascii="Times New Roman" w:hAnsi="Times New Roman" w:cs="Times New Roman"/>
          <w:sz w:val="24"/>
          <w:szCs w:val="24"/>
        </w:rPr>
        <w:t xml:space="preserve"> </w:t>
      </w:r>
      <w:r w:rsidR="0037359D">
        <w:rPr>
          <w:rFonts w:ascii="Times New Roman" w:hAnsi="Times New Roman" w:cs="Times New Roman"/>
          <w:sz w:val="24"/>
          <w:szCs w:val="24"/>
        </w:rPr>
        <w:t xml:space="preserve">navodi </w:t>
      </w:r>
      <w:r w:rsidR="005C1111">
        <w:rPr>
          <w:rFonts w:ascii="Times New Roman" w:hAnsi="Times New Roman" w:cs="Times New Roman"/>
          <w:sz w:val="24"/>
          <w:szCs w:val="24"/>
        </w:rPr>
        <w:t>pet</w:t>
      </w:r>
      <w:r w:rsidR="0037359D">
        <w:rPr>
          <w:rFonts w:ascii="Times New Roman" w:hAnsi="Times New Roman" w:cs="Times New Roman"/>
          <w:sz w:val="24"/>
          <w:szCs w:val="24"/>
        </w:rPr>
        <w:t xml:space="preserve"> posebnih ciljeva, od kojih je jedan „</w:t>
      </w:r>
      <w:r w:rsidR="009F3408" w:rsidRPr="009F3408">
        <w:rPr>
          <w:rFonts w:ascii="Times New Roman" w:hAnsi="Times New Roman" w:cs="Times New Roman"/>
          <w:sz w:val="24"/>
          <w:szCs w:val="24"/>
        </w:rPr>
        <w:t xml:space="preserve">zelenija, otporna Europa s niskom razinom emisija ugljika koja prelazi na gospodarstvo s nultom neto stopom emisija ugljika promicanjem prijelaza na čistu i pravednu energiju, zelenih i plavih ulaganja, kružnoga gospodarstva, ublažavanja klimatskih promjena i prilagodbe klimatskim promjenama, sprječavanja rizika i upravljanja rizicima te održive gradske mobilnosti </w:t>
      </w:r>
      <w:r w:rsidR="0037359D">
        <w:rPr>
          <w:rFonts w:ascii="Times New Roman" w:hAnsi="Times New Roman" w:cs="Times New Roman"/>
          <w:sz w:val="24"/>
          <w:szCs w:val="24"/>
        </w:rPr>
        <w:t>”. Ovaj posebni cilj planira</w:t>
      </w:r>
      <w:r w:rsidR="009F3408">
        <w:rPr>
          <w:rFonts w:ascii="Times New Roman" w:hAnsi="Times New Roman" w:cs="Times New Roman"/>
          <w:sz w:val="24"/>
          <w:szCs w:val="24"/>
        </w:rPr>
        <w:t xml:space="preserve"> se</w:t>
      </w:r>
      <w:r w:rsidR="0037359D">
        <w:rPr>
          <w:rFonts w:ascii="Times New Roman" w:hAnsi="Times New Roman" w:cs="Times New Roman"/>
          <w:sz w:val="24"/>
          <w:szCs w:val="24"/>
        </w:rPr>
        <w:t xml:space="preserve"> ostvariti, između ostalog</w:t>
      </w:r>
      <w:r w:rsidR="005C1111">
        <w:rPr>
          <w:rFonts w:ascii="Times New Roman" w:hAnsi="Times New Roman" w:cs="Times New Roman"/>
          <w:sz w:val="24"/>
          <w:szCs w:val="24"/>
        </w:rPr>
        <w:t>a</w:t>
      </w:r>
      <w:r w:rsidR="0037359D">
        <w:rPr>
          <w:rFonts w:ascii="Times New Roman" w:hAnsi="Times New Roman" w:cs="Times New Roman"/>
          <w:sz w:val="24"/>
          <w:szCs w:val="24"/>
        </w:rPr>
        <w:t xml:space="preserve">, promicanjem energetske učinkovitosti, promicanjem </w:t>
      </w:r>
      <w:r w:rsidR="005212C4">
        <w:rPr>
          <w:rFonts w:ascii="Times New Roman" w:hAnsi="Times New Roman" w:cs="Times New Roman"/>
          <w:sz w:val="24"/>
          <w:szCs w:val="24"/>
        </w:rPr>
        <w:t xml:space="preserve">obnovljive </w:t>
      </w:r>
      <w:r w:rsidR="0037359D">
        <w:rPr>
          <w:rFonts w:ascii="Times New Roman" w:hAnsi="Times New Roman" w:cs="Times New Roman"/>
          <w:sz w:val="24"/>
          <w:szCs w:val="24"/>
        </w:rPr>
        <w:t xml:space="preserve">energije, promicanjem </w:t>
      </w:r>
      <w:r w:rsidR="005212C4">
        <w:rPr>
          <w:rFonts w:ascii="Times New Roman" w:hAnsi="Times New Roman" w:cs="Times New Roman"/>
          <w:sz w:val="24"/>
          <w:szCs w:val="24"/>
        </w:rPr>
        <w:t xml:space="preserve">prijelaza </w:t>
      </w:r>
      <w:r w:rsidR="0037359D">
        <w:rPr>
          <w:rFonts w:ascii="Times New Roman" w:hAnsi="Times New Roman" w:cs="Times New Roman"/>
          <w:sz w:val="24"/>
          <w:szCs w:val="24"/>
        </w:rPr>
        <w:t xml:space="preserve">na kružno </w:t>
      </w:r>
      <w:r w:rsidR="005212C4">
        <w:rPr>
          <w:rFonts w:ascii="Times New Roman" w:hAnsi="Times New Roman" w:cs="Times New Roman"/>
          <w:sz w:val="24"/>
          <w:szCs w:val="24"/>
        </w:rPr>
        <w:t xml:space="preserve">i resursno učinkovito </w:t>
      </w:r>
      <w:r w:rsidR="0037359D">
        <w:rPr>
          <w:rFonts w:ascii="Times New Roman" w:hAnsi="Times New Roman" w:cs="Times New Roman"/>
          <w:sz w:val="24"/>
          <w:szCs w:val="24"/>
        </w:rPr>
        <w:t xml:space="preserve">gospodarstvo, </w:t>
      </w:r>
      <w:r w:rsidR="00FB4936">
        <w:rPr>
          <w:rFonts w:ascii="Times New Roman" w:hAnsi="Times New Roman" w:cs="Times New Roman"/>
          <w:sz w:val="24"/>
          <w:szCs w:val="24"/>
        </w:rPr>
        <w:t xml:space="preserve">jačanjem </w:t>
      </w:r>
      <w:r w:rsidR="0037359D">
        <w:rPr>
          <w:rFonts w:ascii="Times New Roman" w:hAnsi="Times New Roman" w:cs="Times New Roman"/>
          <w:sz w:val="24"/>
          <w:szCs w:val="24"/>
        </w:rPr>
        <w:t xml:space="preserve">zelene infrastrukture u </w:t>
      </w:r>
      <w:r w:rsidR="00FB4936">
        <w:rPr>
          <w:rFonts w:ascii="Times New Roman" w:hAnsi="Times New Roman" w:cs="Times New Roman"/>
          <w:sz w:val="24"/>
          <w:szCs w:val="24"/>
        </w:rPr>
        <w:t xml:space="preserve">urbanim područjima </w:t>
      </w:r>
      <w:r w:rsidR="0037359D">
        <w:rPr>
          <w:rFonts w:ascii="Times New Roman" w:hAnsi="Times New Roman" w:cs="Times New Roman"/>
          <w:sz w:val="24"/>
          <w:szCs w:val="24"/>
        </w:rPr>
        <w:t xml:space="preserve">i smanjenjem </w:t>
      </w:r>
      <w:r w:rsidR="00FB4936">
        <w:rPr>
          <w:rFonts w:ascii="Times New Roman" w:hAnsi="Times New Roman" w:cs="Times New Roman"/>
          <w:sz w:val="24"/>
          <w:szCs w:val="24"/>
        </w:rPr>
        <w:t xml:space="preserve">svih oblika </w:t>
      </w:r>
      <w:r w:rsidR="0037359D">
        <w:rPr>
          <w:rFonts w:ascii="Times New Roman" w:hAnsi="Times New Roman" w:cs="Times New Roman"/>
          <w:sz w:val="24"/>
          <w:szCs w:val="24"/>
        </w:rPr>
        <w:t>onečišćenja.</w:t>
      </w:r>
    </w:p>
    <w:p w14:paraId="6FD8FA8E" w14:textId="77777777" w:rsidR="00180C00" w:rsidRDefault="00180C00">
      <w:pPr>
        <w:pStyle w:val="tekst"/>
        <w:spacing w:line="240" w:lineRule="auto"/>
        <w:rPr>
          <w:rFonts w:ascii="Times New Roman" w:hAnsi="Times New Roman" w:cs="Times New Roman"/>
          <w:sz w:val="24"/>
          <w:szCs w:val="24"/>
        </w:rPr>
      </w:pPr>
    </w:p>
    <w:p w14:paraId="33299B3C" w14:textId="23AAC1EB" w:rsidR="00180C00" w:rsidRDefault="00826924">
      <w:pPr>
        <w:pStyle w:val="tekst"/>
        <w:spacing w:line="240" w:lineRule="auto"/>
        <w:rPr>
          <w:rFonts w:ascii="Times New Roman" w:hAnsi="Times New Roman" w:cs="Times New Roman"/>
          <w:sz w:val="24"/>
          <w:szCs w:val="24"/>
        </w:rPr>
      </w:pPr>
      <w:r>
        <w:rPr>
          <w:rFonts w:ascii="Times New Roman" w:hAnsi="Times New Roman" w:cs="Times New Roman"/>
          <w:sz w:val="24"/>
          <w:szCs w:val="24"/>
        </w:rPr>
        <w:t>E</w:t>
      </w:r>
      <w:r w:rsidR="00002BF7">
        <w:rPr>
          <w:rFonts w:ascii="Times New Roman" w:hAnsi="Times New Roman" w:cs="Times New Roman"/>
          <w:sz w:val="24"/>
          <w:szCs w:val="24"/>
        </w:rPr>
        <w:t>SPON</w:t>
      </w:r>
      <w:r>
        <w:rPr>
          <w:rFonts w:ascii="Times New Roman" w:hAnsi="Times New Roman" w:cs="Times New Roman"/>
          <w:sz w:val="24"/>
          <w:szCs w:val="24"/>
        </w:rPr>
        <w:t xml:space="preserve"> dokument „Sažetak politike, </w:t>
      </w:r>
      <w:r w:rsidR="002438D6">
        <w:rPr>
          <w:rFonts w:ascii="Times New Roman" w:hAnsi="Times New Roman" w:cs="Times New Roman"/>
          <w:sz w:val="24"/>
          <w:szCs w:val="24"/>
        </w:rPr>
        <w:t>Ponovna uporaba prostora i zgrada</w:t>
      </w:r>
      <w:r w:rsidR="00813DFA">
        <w:rPr>
          <w:rFonts w:ascii="Times New Roman" w:hAnsi="Times New Roman" w:cs="Times New Roman"/>
          <w:sz w:val="24"/>
          <w:szCs w:val="24"/>
        </w:rPr>
        <w:t>“</w:t>
      </w:r>
      <w:r w:rsidR="00947FE0">
        <w:rPr>
          <w:rStyle w:val="Referencafusnote"/>
          <w:rFonts w:ascii="Times New Roman" w:hAnsi="Times New Roman" w:cs="Times New Roman"/>
          <w:sz w:val="24"/>
          <w:szCs w:val="24"/>
        </w:rPr>
        <w:footnoteReference w:id="26"/>
      </w:r>
      <w:r w:rsidR="004B6B69">
        <w:rPr>
          <w:rFonts w:ascii="Times New Roman" w:hAnsi="Times New Roman" w:cs="Times New Roman"/>
          <w:sz w:val="24"/>
          <w:szCs w:val="24"/>
        </w:rPr>
        <w:t xml:space="preserve"> ima za cilj </w:t>
      </w:r>
      <w:r w:rsidR="001C4983" w:rsidRPr="001C4983">
        <w:rPr>
          <w:rFonts w:ascii="Times New Roman" w:hAnsi="Times New Roman" w:cs="Times New Roman"/>
          <w:sz w:val="24"/>
          <w:szCs w:val="24"/>
        </w:rPr>
        <w:t xml:space="preserve">informirati europska, nacionalna, regionalna i gradska tijela o ponovnoj uporabi prostora i zgrada kako bi se postigla održiva urbanizacija. U njemu su obrađeni i prikazani razni načini uporabe instrumenata i alata za ponovnu uporabu prostora i zgrada, uključujući modele kružnog gospodarstva. Cilj je ovog </w:t>
      </w:r>
      <w:r w:rsidR="005C1111">
        <w:rPr>
          <w:rFonts w:ascii="Times New Roman" w:hAnsi="Times New Roman" w:cs="Times New Roman"/>
          <w:sz w:val="24"/>
          <w:szCs w:val="24"/>
        </w:rPr>
        <w:t>dokumenta</w:t>
      </w:r>
      <w:r w:rsidR="001C4983" w:rsidRPr="001C4983">
        <w:rPr>
          <w:rFonts w:ascii="Times New Roman" w:hAnsi="Times New Roman" w:cs="Times New Roman"/>
          <w:sz w:val="24"/>
          <w:szCs w:val="24"/>
        </w:rPr>
        <w:t xml:space="preserve"> podržati rasprave o ponovnoj uporabi prostora i zgrada kao sredstva za olakšavanje prelaska na kružno gospodarstvo na međuvladinoj razini za vrijeme hrvatskog predsjedanja Vijećem EU-a u prvoj polovici 2020.</w:t>
      </w:r>
    </w:p>
    <w:p w14:paraId="45D05826" w14:textId="77777777" w:rsidR="00496804" w:rsidRDefault="00496804">
      <w:pPr>
        <w:spacing w:line="240" w:lineRule="auto"/>
        <w:rPr>
          <w:rFonts w:ascii="Times New Roman" w:hAnsi="Times New Roman"/>
          <w:sz w:val="24"/>
        </w:rPr>
      </w:pPr>
    </w:p>
    <w:p w14:paraId="45D05827" w14:textId="77777777" w:rsidR="00496804" w:rsidRDefault="0037359D">
      <w:pPr>
        <w:spacing w:line="240" w:lineRule="auto"/>
        <w:rPr>
          <w:rFonts w:ascii="Times New Roman" w:hAnsi="Times New Roman"/>
          <w:sz w:val="24"/>
        </w:rPr>
      </w:pPr>
      <w:r>
        <w:rPr>
          <w:rFonts w:ascii="Times New Roman" w:hAnsi="Times New Roman"/>
          <w:sz w:val="24"/>
        </w:rPr>
        <w:t>Program razvoja KG predstavlja doprinos razvoju cjelokupnog modela kružnog gospodarenja u RH, a njegovi ciljevi i sadržaj prate niz dokumenata na globalnoj i europskoj razini te se njihovim ispunjenjem očekuje i daje doprinos ostvarenju globalnih i EU ciljeva na razini RH.</w:t>
      </w:r>
    </w:p>
    <w:p w14:paraId="45D05828" w14:textId="77777777" w:rsidR="00496804" w:rsidRDefault="00496804">
      <w:pPr>
        <w:spacing w:line="240" w:lineRule="auto"/>
        <w:rPr>
          <w:rFonts w:ascii="Times New Roman" w:hAnsi="Times New Roman"/>
          <w:sz w:val="24"/>
        </w:rPr>
      </w:pPr>
    </w:p>
    <w:p w14:paraId="45D05829" w14:textId="77777777" w:rsidR="00496804" w:rsidRDefault="00496804">
      <w:pPr>
        <w:spacing w:line="240" w:lineRule="auto"/>
        <w:rPr>
          <w:rFonts w:ascii="Times New Roman" w:hAnsi="Times New Roman"/>
          <w:sz w:val="24"/>
        </w:rPr>
      </w:pPr>
    </w:p>
    <w:p w14:paraId="45D0582A" w14:textId="77777777" w:rsidR="00496804" w:rsidRDefault="0037359D">
      <w:pPr>
        <w:pStyle w:val="Naslov2"/>
        <w:ind w:left="426" w:hanging="426"/>
        <w:rPr>
          <w:rFonts w:ascii="Times New Roman" w:hAnsi="Times New Roman" w:cs="Times New Roman"/>
          <w:color w:val="auto"/>
          <w:sz w:val="24"/>
          <w:szCs w:val="24"/>
        </w:rPr>
      </w:pPr>
      <w:bookmarkStart w:id="35" w:name="_Toc51851621"/>
      <w:r>
        <w:rPr>
          <w:rFonts w:ascii="Times New Roman" w:hAnsi="Times New Roman" w:cs="Times New Roman"/>
          <w:color w:val="auto"/>
          <w:sz w:val="24"/>
          <w:szCs w:val="24"/>
        </w:rPr>
        <w:t>NACIONALNI ZAKONSKI KONTEKST</w:t>
      </w:r>
      <w:bookmarkEnd w:id="35"/>
    </w:p>
    <w:p w14:paraId="45D0582B" w14:textId="77777777" w:rsidR="00496804" w:rsidRDefault="00496804">
      <w:pPr>
        <w:spacing w:line="240" w:lineRule="auto"/>
        <w:rPr>
          <w:rFonts w:ascii="Times New Roman" w:hAnsi="Times New Roman"/>
          <w:sz w:val="24"/>
          <w:lang w:eastAsia="hr-HR"/>
        </w:rPr>
      </w:pPr>
    </w:p>
    <w:p w14:paraId="45D0582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Program razvoja KG izrađen je u skladu s postojećim zakonskim okvirom, odnosno relevantnim i nadležnim zakonskim aktima RH te strateškim okvirom na razini RH.</w:t>
      </w:r>
    </w:p>
    <w:p w14:paraId="45D0582D" w14:textId="77777777" w:rsidR="00496804" w:rsidRDefault="00496804">
      <w:pPr>
        <w:pStyle w:val="tekst"/>
        <w:spacing w:line="240" w:lineRule="auto"/>
        <w:rPr>
          <w:rFonts w:ascii="Times New Roman" w:hAnsi="Times New Roman" w:cs="Times New Roman"/>
          <w:sz w:val="24"/>
          <w:szCs w:val="24"/>
        </w:rPr>
      </w:pPr>
    </w:p>
    <w:p w14:paraId="45D0582E" w14:textId="328AC799"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Izrada ovog Programa definirana je </w:t>
      </w:r>
      <w:r>
        <w:rPr>
          <w:rFonts w:ascii="Times New Roman" w:hAnsi="Times New Roman" w:cs="Times New Roman"/>
          <w:iCs/>
          <w:sz w:val="24"/>
          <w:szCs w:val="24"/>
        </w:rPr>
        <w:t>Zakonom o gradnji</w:t>
      </w:r>
      <w:r>
        <w:rPr>
          <w:rStyle w:val="Referencafusnote"/>
          <w:rFonts w:ascii="Times New Roman" w:hAnsi="Times New Roman" w:cs="Times New Roman"/>
          <w:sz w:val="24"/>
          <w:szCs w:val="24"/>
        </w:rPr>
        <w:footnoteReference w:id="27"/>
      </w:r>
      <w:r>
        <w:rPr>
          <w:rFonts w:ascii="Times New Roman" w:hAnsi="Times New Roman" w:cs="Times New Roman"/>
          <w:sz w:val="24"/>
          <w:szCs w:val="24"/>
        </w:rPr>
        <w:t xml:space="preserve"> koji u članku 47.d navodi kako </w:t>
      </w:r>
      <w:r>
        <w:rPr>
          <w:rFonts w:ascii="Times New Roman" w:hAnsi="Times New Roman" w:cs="Times New Roman"/>
          <w:iCs/>
          <w:sz w:val="24"/>
          <w:szCs w:val="24"/>
        </w:rPr>
        <w:t>Program razvoja kružnog gospodarenja prostorom i zgradama</w:t>
      </w:r>
      <w:r>
        <w:rPr>
          <w:rFonts w:ascii="Times New Roman" w:hAnsi="Times New Roman" w:cs="Times New Roman"/>
          <w:sz w:val="24"/>
          <w:szCs w:val="24"/>
        </w:rPr>
        <w:t xml:space="preserve"> za razdoblje 2021. do 2030. godine donosi Vlada Republike Hrvatske na prijedlog Ministarstv</w:t>
      </w:r>
      <w:r w:rsidRPr="00DE47F2">
        <w:rPr>
          <w:rFonts w:ascii="Times New Roman" w:hAnsi="Times New Roman" w:cs="Times New Roman"/>
          <w:sz w:val="24"/>
          <w:szCs w:val="24"/>
        </w:rPr>
        <w:t xml:space="preserve">a </w:t>
      </w:r>
      <w:r>
        <w:rPr>
          <w:rFonts w:ascii="Times New Roman" w:hAnsi="Times New Roman" w:cs="Times New Roman"/>
          <w:sz w:val="24"/>
          <w:szCs w:val="24"/>
        </w:rPr>
        <w:t>prostornoga uređenja, graditeljstva i državne imovine. Program razrađuje ciljeve i mjere za kružno gospodarenje prostorom i zgradama kojima se među ostalim potiču mjere kružnosti kod planiranja novih zgrada, ponovno korištenje napuštenih i/ili zapuštenih i produljenje trajnosti postojećih prostora i zgrada, smanjenje količine građevnog otpada te povećanje energetske učinkovitosti zgrada.</w:t>
      </w:r>
    </w:p>
    <w:p w14:paraId="45D0582F" w14:textId="77777777" w:rsidR="00496804" w:rsidRDefault="00496804">
      <w:pPr>
        <w:pStyle w:val="tekst"/>
        <w:spacing w:line="240" w:lineRule="auto"/>
        <w:rPr>
          <w:rFonts w:ascii="Times New Roman" w:hAnsi="Times New Roman" w:cs="Times New Roman"/>
          <w:sz w:val="24"/>
          <w:szCs w:val="24"/>
        </w:rPr>
      </w:pPr>
    </w:p>
    <w:p w14:paraId="45D05830" w14:textId="296CBB2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Članak 14. </w:t>
      </w:r>
      <w:r>
        <w:rPr>
          <w:rFonts w:ascii="Times New Roman" w:hAnsi="Times New Roman" w:cs="Times New Roman"/>
          <w:iCs/>
          <w:sz w:val="24"/>
          <w:szCs w:val="24"/>
        </w:rPr>
        <w:t>Zakona o gradnji</w:t>
      </w:r>
      <w:r>
        <w:rPr>
          <w:rFonts w:ascii="Times New Roman" w:hAnsi="Times New Roman" w:cs="Times New Roman"/>
          <w:sz w:val="24"/>
          <w:szCs w:val="24"/>
        </w:rPr>
        <w:t xml:space="preserve"> pod nazivom </w:t>
      </w:r>
      <w:r>
        <w:rPr>
          <w:rFonts w:ascii="Times New Roman" w:hAnsi="Times New Roman" w:cs="Times New Roman"/>
          <w:bCs/>
          <w:i/>
          <w:sz w:val="24"/>
          <w:szCs w:val="24"/>
        </w:rPr>
        <w:t>Gospodarenje energijom i očuvanje topline</w:t>
      </w:r>
      <w:r>
        <w:rPr>
          <w:rFonts w:ascii="Times New Roman" w:hAnsi="Times New Roman" w:cs="Times New Roman"/>
          <w:sz w:val="24"/>
          <w:szCs w:val="24"/>
        </w:rPr>
        <w:t xml:space="preserve"> uređuje da: </w:t>
      </w:r>
      <w:r w:rsidR="006B0BB2">
        <w:rPr>
          <w:rFonts w:ascii="Times New Roman" w:hAnsi="Times New Roman" w:cs="Times New Roman"/>
          <w:sz w:val="24"/>
          <w:szCs w:val="24"/>
        </w:rPr>
        <w:t>„</w:t>
      </w:r>
      <w:r>
        <w:rPr>
          <w:rFonts w:ascii="Times New Roman" w:hAnsi="Times New Roman" w:cs="Times New Roman"/>
          <w:iCs/>
          <w:sz w:val="24"/>
          <w:szCs w:val="24"/>
        </w:rPr>
        <w:t>Građevine i njihove instalacije za grijanje, hlađenje, osvjetljenje i provjetravanje moraju biti projektirane i izgrađene tako da količina energije koju zahtijevaju ostane na niskoj razini, uzimajući u obzir korisnike i klimatske uvjete smještaja građevine. Građevine također moraju biti energetski učinkovite, tako da koriste što je moguće manje energije tijekom građenja i razgradnje.</w:t>
      </w:r>
      <w:r w:rsidR="006B0BB2">
        <w:rPr>
          <w:rFonts w:ascii="Times New Roman" w:hAnsi="Times New Roman" w:cs="Times New Roman"/>
          <w:sz w:val="24"/>
          <w:szCs w:val="24"/>
        </w:rPr>
        <w:t>“.</w:t>
      </w:r>
    </w:p>
    <w:p w14:paraId="45D05831" w14:textId="77777777" w:rsidR="00496804" w:rsidRDefault="00496804">
      <w:pPr>
        <w:pStyle w:val="tekst"/>
        <w:spacing w:line="240" w:lineRule="auto"/>
        <w:rPr>
          <w:rFonts w:ascii="Times New Roman" w:hAnsi="Times New Roman" w:cs="Times New Roman"/>
          <w:sz w:val="24"/>
          <w:szCs w:val="24"/>
        </w:rPr>
      </w:pPr>
    </w:p>
    <w:p w14:paraId="45D05832" w14:textId="4B552FE5"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Također u članku 15. </w:t>
      </w:r>
      <w:r>
        <w:rPr>
          <w:rFonts w:ascii="Times New Roman" w:hAnsi="Times New Roman" w:cs="Times New Roman"/>
          <w:bCs/>
          <w:i/>
          <w:sz w:val="24"/>
          <w:szCs w:val="24"/>
        </w:rPr>
        <w:t>Održiva uporaba prirodnih izvor</w:t>
      </w:r>
      <w:r>
        <w:rPr>
          <w:rFonts w:ascii="Times New Roman" w:hAnsi="Times New Roman" w:cs="Times New Roman"/>
          <w:bCs/>
          <w:sz w:val="24"/>
          <w:szCs w:val="24"/>
        </w:rPr>
        <w:t>a</w:t>
      </w:r>
      <w:r>
        <w:rPr>
          <w:rFonts w:ascii="Times New Roman" w:hAnsi="Times New Roman" w:cs="Times New Roman"/>
          <w:sz w:val="24"/>
          <w:szCs w:val="24"/>
        </w:rPr>
        <w:t xml:space="preserve"> navodi se: </w:t>
      </w:r>
      <w:r w:rsidR="006B0BB2">
        <w:rPr>
          <w:rFonts w:ascii="Times New Roman" w:hAnsi="Times New Roman" w:cs="Times New Roman"/>
          <w:sz w:val="24"/>
          <w:szCs w:val="24"/>
        </w:rPr>
        <w:t>„</w:t>
      </w:r>
      <w:r>
        <w:rPr>
          <w:rFonts w:ascii="Times New Roman" w:hAnsi="Times New Roman" w:cs="Times New Roman"/>
          <w:iCs/>
          <w:sz w:val="24"/>
          <w:szCs w:val="24"/>
        </w:rPr>
        <w:t xml:space="preserve">Građevine moraju biti projektirane, izgrađene i uklonjene tako da je uporaba prirodnih izvora održiva, a posebno moraju </w:t>
      </w:r>
      <w:r>
        <w:rPr>
          <w:rFonts w:ascii="Times New Roman" w:hAnsi="Times New Roman" w:cs="Times New Roman"/>
          <w:iCs/>
          <w:sz w:val="24"/>
          <w:szCs w:val="24"/>
        </w:rPr>
        <w:lastRenderedPageBreak/>
        <w:t>zajamčiti sljedeće: 1. ponovnu uporabu ili mogućnost reciklaže građevine, njezinih materijala i dijelova nakon uklanjanja, 2. trajnost građevine, 3. uporabu okolišu prihvatljivih sirovina i sekundarnih materijala u građevinama</w:t>
      </w:r>
      <w:r>
        <w:rPr>
          <w:rFonts w:ascii="Times New Roman" w:hAnsi="Times New Roman" w:cs="Times New Roman"/>
          <w:sz w:val="24"/>
          <w:szCs w:val="24"/>
        </w:rPr>
        <w:t>."</w:t>
      </w:r>
    </w:p>
    <w:p w14:paraId="45D05833" w14:textId="77777777" w:rsidR="00496804" w:rsidRDefault="00496804">
      <w:pPr>
        <w:pStyle w:val="tekst"/>
        <w:spacing w:line="240" w:lineRule="auto"/>
        <w:rPr>
          <w:rFonts w:ascii="Times New Roman" w:hAnsi="Times New Roman" w:cs="Times New Roman"/>
          <w:b/>
          <w:bCs/>
          <w:sz w:val="24"/>
          <w:szCs w:val="24"/>
        </w:rPr>
      </w:pPr>
    </w:p>
    <w:p w14:paraId="45D05834" w14:textId="172A3EF1"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Zakon o prostornom uređenju</w:t>
      </w:r>
      <w:r>
        <w:rPr>
          <w:rFonts w:ascii="Times New Roman" w:hAnsi="Times New Roman" w:cs="Times New Roman"/>
          <w:sz w:val="24"/>
          <w:szCs w:val="24"/>
        </w:rPr>
        <w:t xml:space="preserve"> ističe kao jedno od načela prostorne održivosti razvitka i vrsnoće gradnje kako se </w:t>
      </w:r>
      <w:r w:rsidR="006B0BB2">
        <w:rPr>
          <w:rFonts w:ascii="Times New Roman" w:hAnsi="Times New Roman" w:cs="Times New Roman"/>
          <w:sz w:val="24"/>
          <w:szCs w:val="24"/>
        </w:rPr>
        <w:t>„</w:t>
      </w:r>
      <w:r>
        <w:rPr>
          <w:rFonts w:ascii="Times New Roman" w:hAnsi="Times New Roman" w:cs="Times New Roman"/>
          <w:sz w:val="24"/>
          <w:szCs w:val="24"/>
        </w:rPr>
        <w:t>Održivi razvitak podržava i kružnim gospodarenjem prostorom i građevinama tako da se očuvaju postojeći resursi uređenjem i revitalizacijom prostora i ponovnom uporabom građevina kako bi se stvorila dodatna duža vrijednost i omogućilo učinkovito gospodarenje resursima.</w:t>
      </w:r>
      <w:r w:rsidR="006B0BB2">
        <w:rPr>
          <w:rFonts w:ascii="Times New Roman" w:hAnsi="Times New Roman" w:cs="Times New Roman"/>
          <w:sz w:val="24"/>
          <w:szCs w:val="24"/>
        </w:rPr>
        <w:t>“.</w:t>
      </w:r>
    </w:p>
    <w:p w14:paraId="45D05835" w14:textId="77777777" w:rsidR="00496804" w:rsidRDefault="00496804">
      <w:pPr>
        <w:pStyle w:val="tekst"/>
        <w:spacing w:line="240" w:lineRule="auto"/>
        <w:rPr>
          <w:rFonts w:ascii="Times New Roman" w:hAnsi="Times New Roman" w:cs="Times New Roman"/>
          <w:sz w:val="24"/>
          <w:szCs w:val="24"/>
        </w:rPr>
      </w:pPr>
    </w:p>
    <w:p w14:paraId="45D05836" w14:textId="41FC96C1"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Program razvoja KG je izrađen u skladu sa </w:t>
      </w:r>
      <w:r>
        <w:rPr>
          <w:rFonts w:ascii="Times New Roman" w:hAnsi="Times New Roman" w:cs="Times New Roman"/>
          <w:bCs/>
          <w:iCs/>
          <w:sz w:val="24"/>
          <w:szCs w:val="24"/>
        </w:rPr>
        <w:t>Zakonom o sustavu strateškog planiranja i upravljanja razvojem Republike Hrvatske</w:t>
      </w:r>
      <w:r>
        <w:rPr>
          <w:rStyle w:val="Referencafusnote"/>
          <w:rFonts w:ascii="Times New Roman" w:hAnsi="Times New Roman" w:cs="Times New Roman"/>
          <w:sz w:val="24"/>
          <w:szCs w:val="24"/>
        </w:rPr>
        <w:footnoteReference w:id="28"/>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i pripadajućim podzakonskim aktima te sukladno navedenom, predstavlja tip srednjoročnog akta strateškog planiranja od nacionalnog značaja koji se izrađuje i donosi za razdoblje od pet do deset godina, pri čemu on pobliže definira </w:t>
      </w:r>
      <w:r>
        <w:rPr>
          <w:rFonts w:ascii="Times New Roman" w:hAnsi="Times New Roman" w:cs="Times New Roman"/>
          <w:bCs/>
          <w:sz w:val="24"/>
          <w:szCs w:val="24"/>
        </w:rPr>
        <w:t>provedbu strateških ciljeva Nacionalne razvojne strategije Republike Hrvatske do 2030. godine</w:t>
      </w:r>
      <w:r>
        <w:rPr>
          <w:rStyle w:val="Referencafusnote"/>
          <w:rFonts w:ascii="Times New Roman" w:hAnsi="Times New Roman" w:cs="Times New Roman"/>
          <w:bCs/>
          <w:sz w:val="24"/>
          <w:szCs w:val="24"/>
        </w:rPr>
        <w:footnoteReference w:id="29"/>
      </w:r>
      <w:r>
        <w:rPr>
          <w:rFonts w:ascii="Times New Roman" w:hAnsi="Times New Roman" w:cs="Times New Roman"/>
          <w:bCs/>
          <w:sz w:val="24"/>
          <w:szCs w:val="24"/>
        </w:rPr>
        <w:t xml:space="preserve"> (NRS 2030), višesektorskih i sektorskih strategija</w:t>
      </w:r>
      <w:r>
        <w:rPr>
          <w:rFonts w:ascii="Times New Roman" w:hAnsi="Times New Roman" w:cs="Times New Roman"/>
          <w:sz w:val="24"/>
          <w:szCs w:val="24"/>
        </w:rPr>
        <w:t xml:space="preserve">. </w:t>
      </w:r>
      <w:r>
        <w:rPr>
          <w:rFonts w:ascii="Times New Roman" w:hAnsi="Times New Roman" w:cs="Times New Roman"/>
          <w:iCs/>
          <w:sz w:val="24"/>
          <w:szCs w:val="24"/>
        </w:rPr>
        <w:t>Uredbom o smjernicama za izradu akata strateškog planiranja od nacionalnog značaja i od značaja za jedinice lokalne i područne (regionalne) samouprave</w:t>
      </w:r>
      <w:r>
        <w:rPr>
          <w:rStyle w:val="Referencafusnote"/>
          <w:rFonts w:ascii="Times New Roman" w:hAnsi="Times New Roman" w:cs="Times New Roman"/>
          <w:sz w:val="24"/>
          <w:szCs w:val="24"/>
        </w:rPr>
        <w:footnoteReference w:id="30"/>
      </w:r>
      <w:r>
        <w:rPr>
          <w:rFonts w:ascii="Times New Roman" w:hAnsi="Times New Roman" w:cs="Times New Roman"/>
          <w:i/>
          <w:iCs/>
          <w:sz w:val="24"/>
          <w:szCs w:val="24"/>
        </w:rPr>
        <w:t>,</w:t>
      </w:r>
      <w:r>
        <w:rPr>
          <w:rFonts w:ascii="Times New Roman" w:hAnsi="Times New Roman" w:cs="Times New Roman"/>
          <w:sz w:val="24"/>
          <w:szCs w:val="24"/>
        </w:rPr>
        <w:t xml:space="preserve"> propisan je obavezni sadržaj i postupak izrade, izvještavanja, praćenja i vrednovanja akata strateškog planiranja</w:t>
      </w:r>
      <w:r w:rsidR="006B0BB2">
        <w:rPr>
          <w:rFonts w:ascii="Times New Roman" w:hAnsi="Times New Roman" w:cs="Times New Roman"/>
          <w:sz w:val="24"/>
          <w:szCs w:val="24"/>
        </w:rPr>
        <w:t>,</w:t>
      </w:r>
      <w:r>
        <w:rPr>
          <w:rFonts w:ascii="Times New Roman" w:hAnsi="Times New Roman" w:cs="Times New Roman"/>
          <w:sz w:val="24"/>
          <w:szCs w:val="24"/>
        </w:rPr>
        <w:t xml:space="preserve"> pa tako i samog Programa razvoja KG. </w:t>
      </w:r>
      <w:r>
        <w:rPr>
          <w:rFonts w:ascii="Times New Roman" w:hAnsi="Times New Roman" w:cs="Times New Roman"/>
          <w:iCs/>
          <w:sz w:val="24"/>
          <w:szCs w:val="24"/>
          <w:shd w:val="clear" w:color="auto" w:fill="FFFFFF"/>
        </w:rPr>
        <w:t>Pravilnikom o rokovima i postupcima praćenja i izvještavanja o provedbi akata strateškog planiranja od nacionalnog značaja i od značaja za jedinice lokalne i područne (regionalne) samouprave</w:t>
      </w:r>
      <w:r>
        <w:rPr>
          <w:rStyle w:val="Referencafusnote"/>
          <w:rFonts w:ascii="Times New Roman" w:hAnsi="Times New Roman" w:cs="Times New Roman"/>
          <w:sz w:val="24"/>
          <w:szCs w:val="24"/>
        </w:rPr>
        <w:footnoteReference w:id="31"/>
      </w:r>
      <w:r>
        <w:rPr>
          <w:rFonts w:ascii="Times New Roman" w:hAnsi="Times New Roman" w:cs="Times New Roman"/>
          <w:sz w:val="24"/>
          <w:szCs w:val="24"/>
          <w:shd w:val="clear" w:color="auto" w:fill="FFFFFF"/>
        </w:rPr>
        <w:t xml:space="preserve"> propisuju se rokovi i postupci praćenja i izvještavanja o provedbi akata strateškog planiranja od nacionalnog značaja i od značaja za jedinice lokalne i područne (regionalne) samouprave.</w:t>
      </w:r>
    </w:p>
    <w:p w14:paraId="45D05837" w14:textId="77777777" w:rsidR="00496804" w:rsidRDefault="00496804">
      <w:pPr>
        <w:pStyle w:val="tekst"/>
        <w:spacing w:line="240" w:lineRule="auto"/>
        <w:rPr>
          <w:rFonts w:ascii="Times New Roman" w:hAnsi="Times New Roman" w:cs="Times New Roman"/>
          <w:sz w:val="24"/>
          <w:szCs w:val="24"/>
        </w:rPr>
      </w:pPr>
    </w:p>
    <w:p w14:paraId="45D05838" w14:textId="77777777" w:rsidR="00496804" w:rsidRDefault="00496804">
      <w:pPr>
        <w:spacing w:line="240" w:lineRule="auto"/>
        <w:jc w:val="left"/>
        <w:rPr>
          <w:rFonts w:ascii="Times New Roman" w:hAnsi="Times New Roman"/>
          <w:sz w:val="24"/>
        </w:rPr>
      </w:pPr>
    </w:p>
    <w:p w14:paraId="45D05839" w14:textId="77777777" w:rsidR="00496804" w:rsidRDefault="004A10C1">
      <w:pPr>
        <w:pStyle w:val="Naslov2"/>
        <w:ind w:left="426" w:hanging="426"/>
        <w:rPr>
          <w:rFonts w:ascii="Times New Roman" w:hAnsi="Times New Roman" w:cs="Times New Roman"/>
          <w:color w:val="auto"/>
          <w:sz w:val="24"/>
          <w:szCs w:val="24"/>
        </w:rPr>
      </w:pPr>
      <w:hyperlink w:anchor="_Toc26534321" w:history="1">
        <w:bookmarkStart w:id="36" w:name="_Toc51851622"/>
        <w:r w:rsidR="0037359D">
          <w:rPr>
            <w:rFonts w:ascii="Times New Roman" w:hAnsi="Times New Roman" w:cs="Times New Roman"/>
            <w:color w:val="auto"/>
            <w:sz w:val="24"/>
            <w:szCs w:val="24"/>
          </w:rPr>
          <w:t>USKLAĐENOST PROGRAMA S NACIONALNOM RAZVOJNOM STRATEGIJOM, SEKTORSKIM I VIŠESEKTORSKIM STRATEGIJAMA TE DOKUMENTIMA PROSTORNOG UREĐENJA</w:t>
        </w:r>
        <w:bookmarkEnd w:id="36"/>
      </w:hyperlink>
    </w:p>
    <w:p w14:paraId="45D0583A" w14:textId="77777777" w:rsidR="00496804" w:rsidRDefault="00496804">
      <w:pPr>
        <w:pStyle w:val="tekst"/>
        <w:spacing w:line="240" w:lineRule="auto"/>
        <w:rPr>
          <w:rFonts w:ascii="Times New Roman" w:hAnsi="Times New Roman" w:cs="Times New Roman"/>
          <w:b/>
          <w:bCs/>
          <w:sz w:val="24"/>
          <w:szCs w:val="24"/>
        </w:rPr>
      </w:pPr>
    </w:p>
    <w:p w14:paraId="45D0583B" w14:textId="3F6F3E66"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iCs/>
          <w:sz w:val="24"/>
          <w:szCs w:val="24"/>
        </w:rPr>
        <w:t xml:space="preserve">Program razvoja KG </w:t>
      </w:r>
      <w:r>
        <w:rPr>
          <w:rFonts w:ascii="Times New Roman" w:hAnsi="Times New Roman" w:cs="Times New Roman"/>
          <w:sz w:val="24"/>
          <w:szCs w:val="24"/>
        </w:rPr>
        <w:t xml:space="preserve">izrađen je u skladu s </w:t>
      </w:r>
      <w:r>
        <w:rPr>
          <w:rFonts w:ascii="Times New Roman" w:hAnsi="Times New Roman" w:cs="Times New Roman"/>
          <w:bCs/>
          <w:iCs/>
          <w:sz w:val="24"/>
          <w:szCs w:val="24"/>
        </w:rPr>
        <w:t>Nacionalnom razvojnom strategijom Republike Hrvatske do 2030</w:t>
      </w:r>
      <w:r w:rsidR="00A258C2">
        <w:rPr>
          <w:rFonts w:ascii="Times New Roman" w:hAnsi="Times New Roman" w:cs="Times New Roman"/>
          <w:bCs/>
          <w:iCs/>
          <w:sz w:val="24"/>
          <w:szCs w:val="24"/>
        </w:rPr>
        <w:t>. godine</w:t>
      </w:r>
      <w:r>
        <w:rPr>
          <w:rFonts w:ascii="Times New Roman" w:hAnsi="Times New Roman" w:cs="Times New Roman"/>
          <w:bCs/>
          <w:sz w:val="24"/>
          <w:szCs w:val="24"/>
        </w:rPr>
        <w:t xml:space="preserve"> (NRS 2030)</w:t>
      </w:r>
      <w:r>
        <w:rPr>
          <w:rFonts w:ascii="Times New Roman" w:hAnsi="Times New Roman" w:cs="Times New Roman"/>
          <w:sz w:val="24"/>
          <w:szCs w:val="24"/>
        </w:rPr>
        <w:t xml:space="preserve"> koja služi za oblikovanje i provedbu razvojnih politika RH, a definira dugoročnu viziju razvoja RH i prioritete za ulaganje u desetogodišnjem razdoblju. Unutar NRS 2030 definiraju se razvojni smjerovi, strateški ciljevi, smjerovi javne politike i očekivani učinci, prijedlozi strukturnih reformi, strateških projekata i programa, te provedbenih mehanizama za RH do 2030. godine.</w:t>
      </w:r>
      <w:r>
        <w:rPr>
          <w:rFonts w:ascii="Times New Roman" w:hAnsi="Times New Roman" w:cs="Times New Roman"/>
          <w:i/>
          <w:iCs/>
          <w:sz w:val="24"/>
          <w:szCs w:val="24"/>
        </w:rPr>
        <w:t xml:space="preserve"> Zelena i digitalna tranzicija,</w:t>
      </w:r>
      <w:r>
        <w:rPr>
          <w:rFonts w:ascii="Times New Roman" w:hAnsi="Times New Roman" w:cs="Times New Roman"/>
          <w:sz w:val="24"/>
          <w:szCs w:val="24"/>
        </w:rPr>
        <w:t xml:space="preserve"> jedan od razvojnih smjerova </w:t>
      </w:r>
      <w:r>
        <w:rPr>
          <w:rFonts w:ascii="Times New Roman" w:hAnsi="Times New Roman" w:cs="Times New Roman"/>
          <w:bCs/>
          <w:sz w:val="24"/>
          <w:szCs w:val="24"/>
        </w:rPr>
        <w:t>NRS 2030,</w:t>
      </w:r>
      <w:r>
        <w:rPr>
          <w:rFonts w:ascii="Times New Roman" w:hAnsi="Times New Roman" w:cs="Times New Roman"/>
          <w:sz w:val="24"/>
          <w:szCs w:val="24"/>
        </w:rPr>
        <w:t xml:space="preserve"> ima za strateški cilj </w:t>
      </w:r>
      <w:r>
        <w:rPr>
          <w:rFonts w:ascii="Times New Roman" w:hAnsi="Times New Roman" w:cs="Times New Roman"/>
          <w:bCs/>
          <w:i/>
          <w:iCs/>
          <w:sz w:val="24"/>
          <w:szCs w:val="24"/>
        </w:rPr>
        <w:t>Ekološku i energetsku tranziciju za klimatsku neutralnost</w:t>
      </w:r>
      <w:r>
        <w:rPr>
          <w:rFonts w:ascii="Times New Roman" w:hAnsi="Times New Roman" w:cs="Times New Roman"/>
          <w:sz w:val="24"/>
          <w:szCs w:val="24"/>
        </w:rPr>
        <w:t xml:space="preserve"> unutar kojega je razvoj kružnog gospodarenja prostorom i zgradama prioritet javne politike na području održivog okoliša, dok je povećanje energetske učinkovitosti u zgradarstvu jedan od prioriteta nacionalne energetske politike.</w:t>
      </w:r>
    </w:p>
    <w:p w14:paraId="45D0583C" w14:textId="77777777" w:rsidR="00496804" w:rsidRDefault="00496804">
      <w:pPr>
        <w:pStyle w:val="tekst"/>
        <w:spacing w:line="240" w:lineRule="auto"/>
        <w:rPr>
          <w:rFonts w:ascii="Times New Roman" w:hAnsi="Times New Roman" w:cs="Times New Roman"/>
          <w:sz w:val="24"/>
          <w:szCs w:val="24"/>
        </w:rPr>
      </w:pPr>
    </w:p>
    <w:p w14:paraId="45D0583D" w14:textId="366FD5CD"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Ministarstvo gospodarstva i održivog razvoja kroz </w:t>
      </w:r>
      <w:r>
        <w:rPr>
          <w:rFonts w:ascii="Times New Roman" w:hAnsi="Times New Roman" w:cs="Times New Roman"/>
          <w:bCs/>
          <w:sz w:val="24"/>
          <w:szCs w:val="24"/>
        </w:rPr>
        <w:t>Integrirani nacionalni energetski i klimatski plan za Republiku Hrvatsku</w:t>
      </w:r>
      <w:r>
        <w:rPr>
          <w:rFonts w:ascii="Times New Roman" w:hAnsi="Times New Roman" w:cs="Times New Roman"/>
          <w:sz w:val="24"/>
          <w:szCs w:val="24"/>
        </w:rPr>
        <w:t xml:space="preserve"> </w:t>
      </w:r>
      <w:r>
        <w:rPr>
          <w:rFonts w:ascii="Times New Roman" w:hAnsi="Times New Roman" w:cs="Times New Roman"/>
          <w:bCs/>
          <w:sz w:val="24"/>
          <w:szCs w:val="24"/>
        </w:rPr>
        <w:t xml:space="preserve">za razdoblje </w:t>
      </w:r>
      <w:r w:rsidR="00A258C2">
        <w:rPr>
          <w:rFonts w:ascii="Times New Roman" w:hAnsi="Times New Roman" w:cs="Times New Roman"/>
          <w:bCs/>
          <w:sz w:val="24"/>
          <w:szCs w:val="24"/>
        </w:rPr>
        <w:t xml:space="preserve">od </w:t>
      </w:r>
      <w:r>
        <w:rPr>
          <w:rFonts w:ascii="Times New Roman" w:hAnsi="Times New Roman" w:cs="Times New Roman"/>
          <w:bCs/>
          <w:sz w:val="24"/>
          <w:szCs w:val="24"/>
        </w:rPr>
        <w:t>2021. do 2030. godine</w:t>
      </w:r>
      <w:r>
        <w:rPr>
          <w:rStyle w:val="Referencafusnote"/>
          <w:rFonts w:ascii="Times New Roman" w:hAnsi="Times New Roman" w:cs="Times New Roman"/>
          <w:sz w:val="24"/>
          <w:szCs w:val="24"/>
        </w:rPr>
        <w:footnoteReference w:id="32"/>
      </w:r>
      <w:r>
        <w:rPr>
          <w:rFonts w:ascii="Times New Roman" w:hAnsi="Times New Roman" w:cs="Times New Roman"/>
          <w:sz w:val="24"/>
          <w:szCs w:val="24"/>
        </w:rPr>
        <w:t xml:space="preserve"> </w:t>
      </w:r>
      <w:r w:rsidR="00A258C2">
        <w:rPr>
          <w:rFonts w:ascii="Times New Roman" w:hAnsi="Times New Roman" w:cs="Times New Roman"/>
          <w:sz w:val="24"/>
          <w:szCs w:val="24"/>
        </w:rPr>
        <w:t xml:space="preserve">(u daljnjem tekstu: Integrirani </w:t>
      </w:r>
      <w:r w:rsidR="00A258C2">
        <w:rPr>
          <w:rFonts w:ascii="Times New Roman" w:hAnsi="Times New Roman" w:cs="Times New Roman"/>
          <w:bCs/>
          <w:sz w:val="24"/>
          <w:szCs w:val="24"/>
        </w:rPr>
        <w:t xml:space="preserve">nacionalni energetski i klimatski plan) </w:t>
      </w:r>
      <w:r>
        <w:rPr>
          <w:rFonts w:ascii="Times New Roman" w:hAnsi="Times New Roman" w:cs="Times New Roman"/>
          <w:sz w:val="24"/>
          <w:szCs w:val="24"/>
        </w:rPr>
        <w:t>definiralo je nacionalne ciljeve koji posebno uključuju smanjenje emisija stakleničkih plinova, energiju iz obnovljivih izvora, energetsku učinkovitost</w:t>
      </w:r>
      <w:r>
        <w:rPr>
          <w:rFonts w:ascii="Times New Roman" w:hAnsi="Times New Roman" w:cs="Times New Roman"/>
          <w:b/>
          <w:bCs/>
          <w:sz w:val="24"/>
          <w:szCs w:val="24"/>
        </w:rPr>
        <w:t xml:space="preserve"> </w:t>
      </w:r>
      <w:r>
        <w:rPr>
          <w:rFonts w:ascii="Times New Roman" w:hAnsi="Times New Roman" w:cs="Times New Roman"/>
          <w:sz w:val="24"/>
          <w:szCs w:val="24"/>
        </w:rPr>
        <w:t xml:space="preserve">i </w:t>
      </w:r>
      <w:r>
        <w:rPr>
          <w:rFonts w:ascii="Times New Roman" w:hAnsi="Times New Roman" w:cs="Times New Roman"/>
          <w:sz w:val="24"/>
          <w:szCs w:val="24"/>
        </w:rPr>
        <w:lastRenderedPageBreak/>
        <w:t xml:space="preserve">elektroenergetsku međusobnu povezanost. Integrirani </w:t>
      </w:r>
      <w:r w:rsidR="00A258C2">
        <w:rPr>
          <w:rFonts w:ascii="Times New Roman" w:hAnsi="Times New Roman" w:cs="Times New Roman"/>
          <w:sz w:val="24"/>
          <w:szCs w:val="24"/>
        </w:rPr>
        <w:t xml:space="preserve">nacionalni </w:t>
      </w:r>
      <w:r>
        <w:rPr>
          <w:rFonts w:ascii="Times New Roman" w:hAnsi="Times New Roman" w:cs="Times New Roman"/>
          <w:sz w:val="24"/>
          <w:szCs w:val="24"/>
        </w:rPr>
        <w:t>energetski i klimatski plan nadovezuje se na postojeće nacionalne strategije i planove, a ciljevi ovog</w:t>
      </w:r>
      <w:r w:rsidR="00A258C2">
        <w:rPr>
          <w:rFonts w:ascii="Times New Roman" w:hAnsi="Times New Roman" w:cs="Times New Roman"/>
          <w:sz w:val="24"/>
          <w:szCs w:val="24"/>
        </w:rPr>
        <w:t>a</w:t>
      </w:r>
      <w:r>
        <w:rPr>
          <w:rFonts w:ascii="Times New Roman" w:hAnsi="Times New Roman" w:cs="Times New Roman"/>
          <w:sz w:val="24"/>
          <w:szCs w:val="24"/>
        </w:rPr>
        <w:t xml:space="preserve"> Programa usklađeni su i doprinose ciljevima Integriranog nacionalnog energetskog i klimatskog plana.</w:t>
      </w:r>
    </w:p>
    <w:p w14:paraId="45D0583E" w14:textId="77777777" w:rsidR="00496804" w:rsidRDefault="00496804">
      <w:pPr>
        <w:pStyle w:val="tekst"/>
        <w:spacing w:line="240" w:lineRule="auto"/>
        <w:rPr>
          <w:rFonts w:ascii="Times New Roman" w:hAnsi="Times New Roman" w:cs="Times New Roman"/>
          <w:sz w:val="24"/>
          <w:szCs w:val="24"/>
        </w:rPr>
      </w:pPr>
    </w:p>
    <w:p w14:paraId="45D0583F" w14:textId="4ABD6350"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 xml:space="preserve">Četvrti nacionalni akcijski plan energetske učinkovitosti </w:t>
      </w:r>
      <w:r>
        <w:rPr>
          <w:rFonts w:ascii="Times New Roman" w:hAnsi="Times New Roman" w:cs="Times New Roman"/>
          <w:sz w:val="24"/>
          <w:szCs w:val="24"/>
        </w:rPr>
        <w:t>za razdoblje do kraja 2019.</w:t>
      </w:r>
      <w:r>
        <w:rPr>
          <w:rStyle w:val="Referencafusnote"/>
          <w:rFonts w:ascii="Times New Roman" w:hAnsi="Times New Roman" w:cs="Times New Roman"/>
          <w:bCs/>
          <w:sz w:val="24"/>
          <w:szCs w:val="24"/>
        </w:rPr>
        <w:footnoteReference w:id="33"/>
      </w:r>
      <w:r>
        <w:rPr>
          <w:rFonts w:ascii="Times New Roman" w:hAnsi="Times New Roman" w:cs="Times New Roman"/>
          <w:sz w:val="24"/>
          <w:szCs w:val="24"/>
        </w:rPr>
        <w:t xml:space="preserve"> (4. NAPEnU) godine kao sveobuhvatni provedbeni dokument definirao je politiku energetske učinkovitosti za obuhvaćeno trogodišnje razdoblje (2017. – 2019.). Uštede predviđene 4. NAPEnU se, između ostalog</w:t>
      </w:r>
      <w:r w:rsidR="00A258C2">
        <w:rPr>
          <w:rFonts w:ascii="Times New Roman" w:hAnsi="Times New Roman" w:cs="Times New Roman"/>
          <w:sz w:val="24"/>
          <w:szCs w:val="24"/>
        </w:rPr>
        <w:t>a</w:t>
      </w:r>
      <w:r>
        <w:rPr>
          <w:rFonts w:ascii="Times New Roman" w:hAnsi="Times New Roman" w:cs="Times New Roman"/>
          <w:sz w:val="24"/>
          <w:szCs w:val="24"/>
        </w:rPr>
        <w:t xml:space="preserve">, postižu provedbom </w:t>
      </w:r>
      <w:r>
        <w:rPr>
          <w:rFonts w:ascii="Times New Roman" w:hAnsi="Times New Roman" w:cs="Times New Roman"/>
          <w:iCs/>
          <w:sz w:val="24"/>
          <w:szCs w:val="24"/>
        </w:rPr>
        <w:t>programa energetske obnove stambenih zgrada i zgrada javnog sektora</w:t>
      </w:r>
      <w:r>
        <w:rPr>
          <w:rStyle w:val="Referencafusnote"/>
          <w:rFonts w:ascii="Times New Roman" w:hAnsi="Times New Roman" w:cs="Times New Roman"/>
          <w:sz w:val="24"/>
          <w:szCs w:val="24"/>
        </w:rPr>
        <w:footnoteReference w:id="34"/>
      </w:r>
      <w:r>
        <w:rPr>
          <w:rFonts w:ascii="Times New Roman" w:hAnsi="Times New Roman" w:cs="Times New Roman"/>
          <w:i/>
          <w:iCs/>
          <w:sz w:val="24"/>
          <w:szCs w:val="24"/>
        </w:rPr>
        <w:t>.</w:t>
      </w:r>
    </w:p>
    <w:p w14:paraId="45D05840" w14:textId="77777777" w:rsidR="00496804" w:rsidRDefault="00496804">
      <w:pPr>
        <w:pStyle w:val="tekst"/>
        <w:spacing w:line="240" w:lineRule="auto"/>
        <w:rPr>
          <w:rFonts w:ascii="Times New Roman" w:hAnsi="Times New Roman" w:cs="Times New Roman"/>
          <w:sz w:val="24"/>
          <w:szCs w:val="24"/>
        </w:rPr>
      </w:pPr>
    </w:p>
    <w:p w14:paraId="45D0584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Dugoročna strategija obnove nacionalnog fonda zgrada do 2050. godine</w:t>
      </w:r>
      <w:r>
        <w:rPr>
          <w:rStyle w:val="Referencafusnote"/>
          <w:rFonts w:ascii="Times New Roman" w:hAnsi="Times New Roman" w:cs="Times New Roman"/>
          <w:bCs/>
          <w:sz w:val="24"/>
          <w:szCs w:val="24"/>
        </w:rPr>
        <w:footnoteReference w:id="35"/>
      </w:r>
      <w:r>
        <w:rPr>
          <w:rFonts w:ascii="Times New Roman" w:hAnsi="Times New Roman" w:cs="Times New Roman"/>
          <w:bCs/>
          <w:sz w:val="24"/>
          <w:szCs w:val="24"/>
        </w:rPr>
        <w:t xml:space="preserve"> (u daljnjem tekstu: Dugoročna strategija)</w:t>
      </w:r>
      <w:r>
        <w:rPr>
          <w:rFonts w:ascii="Times New Roman" w:hAnsi="Times New Roman" w:cs="Times New Roman"/>
          <w:sz w:val="24"/>
          <w:szCs w:val="24"/>
        </w:rPr>
        <w:t xml:space="preserve"> postavlja, u skladu s Direktivom (EU) 2018/844, dugoročne ciljeve obnove nacionalnog fonda zgrada, predlaže financijske modele za obnovu nacionalnog fonda zgrada do 2050. godine, procjenjuje utjecaj predloženih politika i mjera na nacionalni gospodarski razvitak, procjenjuje očekivane uštede energije u nacionalnom fondu zgrada, predlaže nove mehanizme za dugoročno financiranje te definira planove i perspektive koji će osigurati stabilnu investicijsku klimu svih sudionika na tržištu. Dugoročna strategija predviđa mjere za poticanje troškovno učinkovite integralne obnove nacionalnog fonda zgrada RH, kojom bi se trebalo obuhvatiti procjene rizika za zgrade i moguće načine ublažavanja rizika u odnosu na uvjete za zgrade u pogledu zaštite od požara i rizika povezanih s pojačanom seizmičkom aktivnošću. Mjere kružnog gospodarenja prostorom i zgradama predstavljaju doprinos ukupnoj dekarbonizaciji zgrada kao i smanjenju rizika od požara i rizika povezanih s pojačanom seizmičkom aktivnošću. </w:t>
      </w:r>
    </w:p>
    <w:p w14:paraId="45D05842" w14:textId="77777777" w:rsidR="00496804" w:rsidRDefault="00496804">
      <w:pPr>
        <w:pStyle w:val="tekst"/>
        <w:spacing w:line="240" w:lineRule="auto"/>
        <w:rPr>
          <w:rFonts w:ascii="Times New Roman" w:hAnsi="Times New Roman" w:cs="Times New Roman"/>
          <w:sz w:val="24"/>
          <w:szCs w:val="24"/>
        </w:rPr>
      </w:pPr>
    </w:p>
    <w:p w14:paraId="45D0584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Prema </w:t>
      </w:r>
      <w:r>
        <w:rPr>
          <w:rFonts w:ascii="Times New Roman" w:hAnsi="Times New Roman" w:cs="Times New Roman"/>
          <w:bCs/>
          <w:sz w:val="24"/>
          <w:szCs w:val="24"/>
        </w:rPr>
        <w:t>SPRRH</w:t>
      </w:r>
      <w:r>
        <w:rPr>
          <w:rFonts w:ascii="Times New Roman" w:hAnsi="Times New Roman" w:cs="Times New Roman"/>
          <w:b/>
          <w:bCs/>
          <w:i/>
          <w:sz w:val="24"/>
          <w:szCs w:val="24"/>
        </w:rPr>
        <w:t xml:space="preserve"> </w:t>
      </w:r>
      <w:r>
        <w:rPr>
          <w:rFonts w:ascii="Times New Roman" w:hAnsi="Times New Roman" w:cs="Times New Roman"/>
          <w:sz w:val="24"/>
          <w:szCs w:val="24"/>
        </w:rPr>
        <w:t>jedan od prioriteta i strateških usmjerenja prostornog razvoja je učinkovita uporaba korištenog prostora. SPRRH tako navodi kako u kontekstu očuvanja i odmjerenog korištenja prostornog resursa, razvojne aktivnosti prioritetno treba usmjeravati prema već korištenom prostoru, bilo da je riječ o preobrazbi napuštenih ili nedovoljno iskorištenih prostornih sklopova koji više nisu u funkciji osnovne namjene, o urbanoj sanaciji područja inicijalno nezakonite gradnje ili o sanaciji dijelova urbanog teritorija sa specifičnim problemima i potrebama. U tom pogledu su u strategiji posebno istaknuti pojedinačni ciljevi:</w:t>
      </w:r>
    </w:p>
    <w:p w14:paraId="45D05844" w14:textId="77777777" w:rsidR="00496804" w:rsidRDefault="0037359D">
      <w:pPr>
        <w:pStyle w:val="Odlomakpopisa"/>
        <w:numPr>
          <w:ilvl w:val="0"/>
          <w:numId w:val="5"/>
        </w:numPr>
        <w:spacing w:line="240" w:lineRule="auto"/>
        <w:ind w:left="426" w:hanging="284"/>
        <w:rPr>
          <w:rFonts w:ascii="Times New Roman" w:hAnsi="Times New Roman" w:cs="Times New Roman"/>
          <w:b w:val="0"/>
          <w:sz w:val="24"/>
        </w:rPr>
      </w:pPr>
      <w:r>
        <w:rPr>
          <w:rFonts w:ascii="Times New Roman" w:hAnsi="Times New Roman" w:cs="Times New Roman"/>
          <w:b w:val="0"/>
          <w:sz w:val="24"/>
        </w:rPr>
        <w:t>revitalizacija napuštenih i zapuštenih zgrada i prostora uz dekontaminaciju prostora</w:t>
      </w:r>
    </w:p>
    <w:p w14:paraId="45D05845" w14:textId="77777777" w:rsidR="00496804" w:rsidRDefault="0037359D">
      <w:pPr>
        <w:pStyle w:val="Odlomakpopisa"/>
        <w:numPr>
          <w:ilvl w:val="0"/>
          <w:numId w:val="5"/>
        </w:numPr>
        <w:spacing w:line="240" w:lineRule="auto"/>
        <w:ind w:left="426" w:hanging="284"/>
        <w:rPr>
          <w:rFonts w:ascii="Times New Roman" w:hAnsi="Times New Roman" w:cs="Times New Roman"/>
          <w:b w:val="0"/>
          <w:sz w:val="24"/>
        </w:rPr>
      </w:pPr>
      <w:r>
        <w:rPr>
          <w:rFonts w:ascii="Times New Roman" w:hAnsi="Times New Roman" w:cs="Times New Roman"/>
          <w:b w:val="0"/>
          <w:sz w:val="24"/>
        </w:rPr>
        <w:t xml:space="preserve">vrednovanje potencijala postojeće izgrađene strukture </w:t>
      </w:r>
      <w:r>
        <w:rPr>
          <w:rFonts w:ascii="Times New Roman" w:hAnsi="Times New Roman" w:cs="Times New Roman"/>
          <w:b w:val="0"/>
          <w:i/>
          <w:sz w:val="24"/>
        </w:rPr>
        <w:t>brownfield</w:t>
      </w:r>
      <w:r>
        <w:rPr>
          <w:rFonts w:ascii="Times New Roman" w:hAnsi="Times New Roman" w:cs="Times New Roman"/>
          <w:b w:val="0"/>
          <w:sz w:val="24"/>
        </w:rPr>
        <w:t xml:space="preserve"> područja kao razvojni resurs od nacionalne do lokalne razine.</w:t>
      </w:r>
    </w:p>
    <w:p w14:paraId="45D05846" w14:textId="77777777" w:rsidR="00496804" w:rsidRDefault="00496804">
      <w:pPr>
        <w:spacing w:line="240" w:lineRule="auto"/>
        <w:rPr>
          <w:rFonts w:ascii="Times New Roman" w:hAnsi="Times New Roman"/>
          <w:b/>
          <w:sz w:val="24"/>
        </w:rPr>
      </w:pPr>
    </w:p>
    <w:p w14:paraId="45D05847" w14:textId="7835DBF2" w:rsidR="00496804" w:rsidRDefault="0037359D">
      <w:pPr>
        <w:spacing w:line="240" w:lineRule="auto"/>
        <w:rPr>
          <w:rFonts w:ascii="Times New Roman" w:hAnsi="Times New Roman"/>
          <w:sz w:val="24"/>
        </w:rPr>
      </w:pPr>
      <w:r>
        <w:rPr>
          <w:rFonts w:ascii="Times New Roman" w:hAnsi="Times New Roman"/>
          <w:sz w:val="24"/>
        </w:rPr>
        <w:t xml:space="preserve">SPRRH precizno ukazuje na potrebe jasne nove politike oko napuštenih i zapuštenih zgrada i prostora, koje predstavljaju značajan prostorni potencijal i resurs. Preobrazba i reafirmacija napuštenih, zapuštenih i nedovoljno odnosno neprimjereno korištenih prostornih cjelina podrazumijeva provedbu vrednovanja potencijala </w:t>
      </w:r>
      <w:r>
        <w:rPr>
          <w:rFonts w:ascii="Times New Roman" w:hAnsi="Times New Roman"/>
          <w:sz w:val="24"/>
          <w:shd w:val="clear" w:color="auto" w:fill="FFFFFF"/>
        </w:rPr>
        <w:t>i prilagodbu dokumenata prostornog uređenja</w:t>
      </w:r>
      <w:r>
        <w:rPr>
          <w:rFonts w:ascii="Times New Roman" w:hAnsi="Times New Roman"/>
          <w:sz w:val="24"/>
        </w:rPr>
        <w:t xml:space="preserve"> određenog prostora od nacionalne do lokalne </w:t>
      </w:r>
      <w:r>
        <w:rPr>
          <w:rFonts w:ascii="Times New Roman" w:hAnsi="Times New Roman"/>
          <w:sz w:val="24"/>
          <w:shd w:val="clear" w:color="auto" w:fill="FFFFFF"/>
        </w:rPr>
        <w:t>i područne (regionalne) razine</w:t>
      </w:r>
      <w:r>
        <w:rPr>
          <w:rFonts w:ascii="Times New Roman" w:hAnsi="Times New Roman"/>
          <w:sz w:val="24"/>
        </w:rPr>
        <w:t>. Posebno se ističe značaj evidentiranja, analiziranja, vrednovanja, planiranja i aktiviranja napuštenih, zapuštenih i nedovoljno odnosno neprimjereno korištenih zona i građevina u javnom vlasništvu usmjeren prema novim, unaprjeđenim i održivim namjenama prostora i njegovom korištenju s odmjerenim sadržajima i infrastrukturom što je u fokusu ovog</w:t>
      </w:r>
      <w:r w:rsidR="00F66448">
        <w:rPr>
          <w:rFonts w:ascii="Times New Roman" w:hAnsi="Times New Roman"/>
          <w:sz w:val="24"/>
        </w:rPr>
        <w:t>a</w:t>
      </w:r>
      <w:r>
        <w:rPr>
          <w:rFonts w:ascii="Times New Roman" w:hAnsi="Times New Roman"/>
          <w:sz w:val="24"/>
        </w:rPr>
        <w:t xml:space="preserve"> Programa.</w:t>
      </w:r>
    </w:p>
    <w:p w14:paraId="45D05848" w14:textId="77777777" w:rsidR="00496804" w:rsidRDefault="00496804">
      <w:pPr>
        <w:spacing w:line="240" w:lineRule="auto"/>
        <w:jc w:val="left"/>
        <w:rPr>
          <w:rFonts w:ascii="Times New Roman" w:hAnsi="Times New Roman"/>
          <w:sz w:val="24"/>
        </w:rPr>
      </w:pPr>
    </w:p>
    <w:p w14:paraId="45D05849" w14:textId="77777777" w:rsidR="00496804" w:rsidRDefault="00496804">
      <w:pPr>
        <w:spacing w:line="240" w:lineRule="auto"/>
        <w:jc w:val="left"/>
        <w:rPr>
          <w:rFonts w:ascii="Times New Roman" w:hAnsi="Times New Roman"/>
          <w:sz w:val="24"/>
        </w:rPr>
      </w:pPr>
    </w:p>
    <w:p w14:paraId="45D0584A" w14:textId="77777777" w:rsidR="00496804" w:rsidRDefault="0037359D">
      <w:pPr>
        <w:pStyle w:val="Naslov2"/>
        <w:ind w:left="426" w:hanging="426"/>
        <w:rPr>
          <w:rFonts w:ascii="Times New Roman" w:hAnsi="Times New Roman" w:cs="Times New Roman"/>
          <w:color w:val="auto"/>
          <w:sz w:val="24"/>
          <w:szCs w:val="24"/>
        </w:rPr>
      </w:pPr>
      <w:bookmarkStart w:id="37" w:name="_Toc51851623"/>
      <w:r>
        <w:rPr>
          <w:rFonts w:ascii="Times New Roman" w:hAnsi="Times New Roman" w:cs="Times New Roman"/>
          <w:color w:val="auto"/>
          <w:sz w:val="24"/>
          <w:szCs w:val="24"/>
        </w:rPr>
        <w:lastRenderedPageBreak/>
        <w:t>METODOLOGIJA IZRADE PROGRAMA</w:t>
      </w:r>
      <w:bookmarkEnd w:id="37"/>
    </w:p>
    <w:p w14:paraId="45D0584B" w14:textId="77777777" w:rsidR="00496804" w:rsidRDefault="00496804">
      <w:pPr>
        <w:spacing w:line="240" w:lineRule="auto"/>
        <w:rPr>
          <w:rFonts w:ascii="Times New Roman" w:hAnsi="Times New Roman"/>
          <w:sz w:val="24"/>
          <w:lang w:eastAsia="hr-HR"/>
        </w:rPr>
      </w:pPr>
    </w:p>
    <w:p w14:paraId="45D0584C" w14:textId="68787E58" w:rsidR="00496804" w:rsidRDefault="0037359D">
      <w:pPr>
        <w:spacing w:line="240" w:lineRule="auto"/>
        <w:rPr>
          <w:rFonts w:ascii="Times New Roman" w:hAnsi="Times New Roman"/>
          <w:bCs/>
          <w:sz w:val="24"/>
          <w:lang w:eastAsia="en-US"/>
        </w:rPr>
      </w:pPr>
      <w:r>
        <w:rPr>
          <w:rFonts w:ascii="Times New Roman" w:hAnsi="Times New Roman"/>
          <w:bCs/>
          <w:sz w:val="24"/>
        </w:rPr>
        <w:t xml:space="preserve">Program razvoja KG sadrži poglavlja, u kojima je obrađena tipologija i koristi kružnog gospodarenja prostorom i zgradama, predstavljen je pregled stanja u prostoru, identificirane su razvojne potrebe i razvojni potencijali, izazovi u provedbi, opisani su prioriteti javne politike u strateškom razdoblju, dana </w:t>
      </w:r>
      <w:r w:rsidR="00FA67EA">
        <w:rPr>
          <w:rFonts w:ascii="Times New Roman" w:hAnsi="Times New Roman"/>
          <w:bCs/>
          <w:sz w:val="24"/>
        </w:rPr>
        <w:t xml:space="preserve">je </w:t>
      </w:r>
      <w:r>
        <w:rPr>
          <w:rFonts w:ascii="Times New Roman" w:hAnsi="Times New Roman"/>
          <w:bCs/>
          <w:sz w:val="24"/>
        </w:rPr>
        <w:t xml:space="preserve">srednjoročna vizija razvoja te </w:t>
      </w:r>
      <w:r w:rsidR="00FA67EA">
        <w:rPr>
          <w:rFonts w:ascii="Times New Roman" w:hAnsi="Times New Roman"/>
          <w:bCs/>
          <w:sz w:val="24"/>
        </w:rPr>
        <w:t xml:space="preserve">su </w:t>
      </w:r>
      <w:r>
        <w:rPr>
          <w:rFonts w:ascii="Times New Roman" w:hAnsi="Times New Roman"/>
          <w:bCs/>
          <w:sz w:val="24"/>
        </w:rPr>
        <w:t>postavljeni ciljevi, mjere i okvir za provedbu ovog</w:t>
      </w:r>
      <w:r w:rsidR="00FA67EA">
        <w:rPr>
          <w:rFonts w:ascii="Times New Roman" w:hAnsi="Times New Roman"/>
          <w:bCs/>
          <w:sz w:val="24"/>
        </w:rPr>
        <w:t>a</w:t>
      </w:r>
      <w:r>
        <w:rPr>
          <w:rFonts w:ascii="Times New Roman" w:hAnsi="Times New Roman"/>
          <w:bCs/>
          <w:sz w:val="24"/>
        </w:rPr>
        <w:t xml:space="preserve"> Programa, kao i pokazatelji za praćenje provedbe Programa, izvještavanje o provedbi i vrednovanje.</w:t>
      </w:r>
    </w:p>
    <w:p w14:paraId="45D0584D" w14:textId="77777777" w:rsidR="00496804" w:rsidRDefault="00496804">
      <w:pPr>
        <w:spacing w:line="240" w:lineRule="auto"/>
        <w:rPr>
          <w:rFonts w:ascii="Times New Roman" w:hAnsi="Times New Roman"/>
          <w:sz w:val="24"/>
          <w:highlight w:val="yellow"/>
        </w:rPr>
      </w:pPr>
    </w:p>
    <w:p w14:paraId="45D0584E" w14:textId="77777777" w:rsidR="00496804" w:rsidRDefault="0037359D">
      <w:pPr>
        <w:spacing w:line="240" w:lineRule="auto"/>
        <w:rPr>
          <w:rFonts w:ascii="Times New Roman" w:hAnsi="Times New Roman"/>
          <w:sz w:val="24"/>
        </w:rPr>
      </w:pPr>
      <w:bookmarkStart w:id="38" w:name="_Hlk38131259"/>
      <w:r>
        <w:rPr>
          <w:rFonts w:ascii="Times New Roman" w:hAnsi="Times New Roman"/>
          <w:sz w:val="24"/>
        </w:rPr>
        <w:t>Trenutno nije moguće dobiti sustavne podatke o broju nekorištenih prostora i zgrada što ukazuje na prijeku potrebu uspostave objedinjenog sustava digitalnog evidentiranja i praćenja navedenih kategorija prostora i zgrada, za koji je ključna uspostava metodologije i dionika koji sudjeluju u prikupljanju i analizi podataka te mapiranje, a kako bi se utvrdilo stvarno početno stanje i omogućilo kvalitetno praćenje Programom definiranih mjera. Cjelovit uvid nužan je kako bi se mogle utvrditi specifičnosti RH u odnosu na europski i međunarodni kontekst, definirati izazovi u pripremi i provedbi kružnog gospodarenja te utvrditi smjernice za budući razvoj.</w:t>
      </w:r>
    </w:p>
    <w:bookmarkEnd w:id="38"/>
    <w:p w14:paraId="45D0584F" w14:textId="77777777" w:rsidR="00496804" w:rsidRDefault="00496804">
      <w:pPr>
        <w:spacing w:line="240" w:lineRule="auto"/>
        <w:rPr>
          <w:rFonts w:ascii="Times New Roman" w:hAnsi="Times New Roman"/>
          <w:sz w:val="24"/>
          <w:lang w:eastAsia="hr-HR"/>
        </w:rPr>
      </w:pPr>
    </w:p>
    <w:p w14:paraId="45D05850" w14:textId="195180FE"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Kako bi se dobio što bolji uvid u stanje u prostoru RH te kako bi se što kvalitetnije identificirale potrebe i kvantificirali ulazni podaci potrebni za izradu ovog</w:t>
      </w:r>
      <w:r w:rsidR="00FA67EA">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iCs/>
          <w:sz w:val="24"/>
          <w:szCs w:val="24"/>
        </w:rPr>
        <w:t xml:space="preserve">Programa, </w:t>
      </w:r>
      <w:r>
        <w:rPr>
          <w:rFonts w:ascii="Times New Roman" w:hAnsi="Times New Roman" w:cs="Times New Roman"/>
          <w:sz w:val="24"/>
          <w:szCs w:val="24"/>
        </w:rPr>
        <w:t xml:space="preserve">izvršene su sljedeće aktivnosti (detaljnije obrađene u poglavlju 4. </w:t>
      </w:r>
      <w:r>
        <w:rPr>
          <w:rFonts w:ascii="Times New Roman" w:hAnsi="Times New Roman" w:cs="Times New Roman"/>
          <w:iCs/>
          <w:sz w:val="24"/>
          <w:szCs w:val="24"/>
        </w:rPr>
        <w:t>Pregled stanja u prostoru</w:t>
      </w:r>
      <w:r>
        <w:rPr>
          <w:rFonts w:ascii="Times New Roman" w:hAnsi="Times New Roman" w:cs="Times New Roman"/>
          <w:sz w:val="24"/>
          <w:szCs w:val="24"/>
        </w:rPr>
        <w:t>):</w:t>
      </w:r>
    </w:p>
    <w:p w14:paraId="45D05851" w14:textId="5E97E401"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 xml:space="preserve">Analiza službenih izvora podataka koja je podrazumijevala </w:t>
      </w:r>
      <w:r>
        <w:rPr>
          <w:rFonts w:ascii="Times New Roman" w:hAnsi="Times New Roman" w:cs="Times New Roman"/>
          <w:sz w:val="24"/>
          <w:szCs w:val="24"/>
        </w:rPr>
        <w:t>pregled dostupne dokumentacije i podataka, u cilju utvrđivanja dostupnosti preciznih brojčanih pokazatelja stanja. Utemeljena je na različitim službenim izvorima i dokumentima nacionalne i lokalne razine, kao što su Izvješće o stanju u prostoru Republike Hrvatske</w:t>
      </w:r>
      <w:r w:rsidR="002E145F">
        <w:rPr>
          <w:rFonts w:ascii="Times New Roman" w:hAnsi="Times New Roman" w:cs="Times New Roman"/>
          <w:sz w:val="24"/>
          <w:szCs w:val="24"/>
        </w:rPr>
        <w:t xml:space="preserve"> za razdoblje</w:t>
      </w:r>
      <w:r>
        <w:rPr>
          <w:rFonts w:ascii="Times New Roman" w:hAnsi="Times New Roman" w:cs="Times New Roman"/>
          <w:sz w:val="24"/>
          <w:szCs w:val="24"/>
        </w:rPr>
        <w:t xml:space="preserve"> </w:t>
      </w:r>
      <w:r w:rsidR="004579F6">
        <w:rPr>
          <w:rFonts w:ascii="Times New Roman" w:hAnsi="Times New Roman" w:cs="Times New Roman"/>
          <w:sz w:val="24"/>
          <w:szCs w:val="24"/>
        </w:rPr>
        <w:t>2013</w:t>
      </w:r>
      <w:r>
        <w:rPr>
          <w:rFonts w:ascii="Times New Roman" w:hAnsi="Times New Roman" w:cs="Times New Roman"/>
          <w:sz w:val="24"/>
          <w:szCs w:val="24"/>
        </w:rPr>
        <w:t>.</w:t>
      </w:r>
      <w:r w:rsidR="00FA67EA">
        <w:rPr>
          <w:rFonts w:ascii="Times New Roman" w:hAnsi="Times New Roman" w:cs="Times New Roman"/>
          <w:sz w:val="24"/>
          <w:szCs w:val="24"/>
        </w:rPr>
        <w:t xml:space="preserve"> </w:t>
      </w:r>
      <w:r>
        <w:rPr>
          <w:rFonts w:ascii="Times New Roman" w:hAnsi="Times New Roman" w:cs="Times New Roman"/>
          <w:sz w:val="24"/>
          <w:szCs w:val="24"/>
        </w:rPr>
        <w:t>-</w:t>
      </w:r>
      <w:r w:rsidR="00FA67EA">
        <w:rPr>
          <w:rFonts w:ascii="Times New Roman" w:hAnsi="Times New Roman" w:cs="Times New Roman"/>
          <w:sz w:val="24"/>
          <w:szCs w:val="24"/>
        </w:rPr>
        <w:t xml:space="preserve"> </w:t>
      </w:r>
      <w:r w:rsidR="004579F6">
        <w:rPr>
          <w:rFonts w:ascii="Times New Roman" w:hAnsi="Times New Roman" w:cs="Times New Roman"/>
          <w:sz w:val="24"/>
          <w:szCs w:val="24"/>
        </w:rPr>
        <w:t>2019</w:t>
      </w:r>
      <w:r>
        <w:rPr>
          <w:rFonts w:ascii="Times New Roman" w:hAnsi="Times New Roman" w:cs="Times New Roman"/>
          <w:sz w:val="24"/>
          <w:szCs w:val="24"/>
        </w:rPr>
        <w:t>.</w:t>
      </w:r>
      <w:r>
        <w:rPr>
          <w:rFonts w:ascii="Times New Roman" w:hAnsi="Times New Roman" w:cs="Times New Roman"/>
          <w:sz w:val="24"/>
          <w:szCs w:val="24"/>
          <w:vertAlign w:val="superscript"/>
        </w:rPr>
        <w:footnoteReference w:id="36"/>
      </w:r>
      <w:r>
        <w:rPr>
          <w:rFonts w:ascii="Times New Roman" w:hAnsi="Times New Roman" w:cs="Times New Roman"/>
          <w:sz w:val="24"/>
          <w:szCs w:val="24"/>
        </w:rPr>
        <w:t>, podaci o energetskoj obnovi zgrada Ministarstva prostornoga uređenja, graditeljstva i državne imovine</w:t>
      </w:r>
      <w:r>
        <w:rPr>
          <w:rFonts w:ascii="Times New Roman" w:hAnsi="Times New Roman" w:cs="Times New Roman"/>
          <w:sz w:val="24"/>
          <w:szCs w:val="24"/>
          <w:vertAlign w:val="superscript"/>
        </w:rPr>
        <w:footnoteReference w:id="37"/>
      </w:r>
      <w:r>
        <w:rPr>
          <w:rFonts w:ascii="Times New Roman" w:hAnsi="Times New Roman" w:cs="Times New Roman"/>
          <w:sz w:val="24"/>
          <w:szCs w:val="24"/>
        </w:rPr>
        <w:t>, Informacijski sustav prostornog uređenja (ISPU)</w:t>
      </w:r>
      <w:r>
        <w:rPr>
          <w:rFonts w:ascii="Times New Roman" w:hAnsi="Times New Roman" w:cs="Times New Roman"/>
          <w:sz w:val="24"/>
          <w:szCs w:val="24"/>
          <w:vertAlign w:val="superscript"/>
        </w:rPr>
        <w:footnoteReference w:id="38"/>
      </w:r>
      <w:r>
        <w:rPr>
          <w:rFonts w:ascii="Times New Roman" w:hAnsi="Times New Roman" w:cs="Times New Roman"/>
          <w:sz w:val="24"/>
          <w:szCs w:val="24"/>
        </w:rPr>
        <w:t>, podaci Državnog zavoda za statistiku (DZS)</w:t>
      </w:r>
      <w:r>
        <w:rPr>
          <w:rFonts w:ascii="Times New Roman" w:hAnsi="Times New Roman" w:cs="Times New Roman"/>
          <w:sz w:val="24"/>
          <w:szCs w:val="24"/>
          <w:vertAlign w:val="superscript"/>
        </w:rPr>
        <w:footnoteReference w:id="39"/>
      </w:r>
      <w:r>
        <w:rPr>
          <w:rFonts w:ascii="Times New Roman" w:hAnsi="Times New Roman" w:cs="Times New Roman"/>
          <w:sz w:val="24"/>
          <w:szCs w:val="24"/>
        </w:rPr>
        <w:t xml:space="preserve">, prostorni planovi JLS, Izvješća o stanju u prostoru JLS, Izvješća Hrvatske agencije za okoliš i prirodu za 2018. godinu, podaci Regionalne energetske agencije sjeverozapadne Hrvatske, podaci Hrvatske platforme za smanjenje rizika od katastrofa i drugi. </w:t>
      </w:r>
    </w:p>
    <w:p w14:paraId="45D05852" w14:textId="709C54C9"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Internetsko istraživanje</w:t>
      </w:r>
      <w:r>
        <w:rPr>
          <w:rFonts w:ascii="Times New Roman" w:hAnsi="Times New Roman" w:cs="Times New Roman"/>
          <w:sz w:val="24"/>
          <w:szCs w:val="24"/>
        </w:rPr>
        <w:t xml:space="preserve"> se sastoji od analize dostupnih podataka iz ostalih izvora informiranja kao što su službene mrežne stranice jedinica lokalne samouprave, CROSBI i drugi međunarodni i nacionalni izvori. U ovom su dijelu prikupljene informacije o temama strateškog i prostornog planiranja, potom informacije o temama iz područja projektiranja, edukacija, informiranja, a sve u cilju prikupljanja recentnih informacija potrebnih za pripremu ovog</w:t>
      </w:r>
      <w:r w:rsidR="00FA67EA">
        <w:rPr>
          <w:rFonts w:ascii="Times New Roman" w:hAnsi="Times New Roman" w:cs="Times New Roman"/>
          <w:sz w:val="24"/>
          <w:szCs w:val="24"/>
        </w:rPr>
        <w:t>a</w:t>
      </w:r>
      <w:r>
        <w:rPr>
          <w:rFonts w:ascii="Times New Roman" w:hAnsi="Times New Roman" w:cs="Times New Roman"/>
          <w:sz w:val="24"/>
          <w:szCs w:val="24"/>
        </w:rPr>
        <w:t xml:space="preserve"> Programa. </w:t>
      </w:r>
    </w:p>
    <w:p w14:paraId="45D05853"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Benchmarking</w:t>
      </w:r>
      <w:r>
        <w:rPr>
          <w:rFonts w:ascii="Times New Roman" w:hAnsi="Times New Roman" w:cs="Times New Roman"/>
          <w:sz w:val="24"/>
          <w:szCs w:val="24"/>
        </w:rPr>
        <w:t xml:space="preserve"> kao izdvojeni vid istraživanja je bio usmjeren na </w:t>
      </w:r>
      <w:r>
        <w:rPr>
          <w:rFonts w:ascii="Times New Roman" w:hAnsi="Times New Roman" w:cs="Times New Roman"/>
          <w:bCs/>
          <w:sz w:val="24"/>
          <w:szCs w:val="24"/>
        </w:rPr>
        <w:t>primjere europske dobre prakse</w:t>
      </w:r>
      <w:r>
        <w:rPr>
          <w:rFonts w:ascii="Times New Roman" w:hAnsi="Times New Roman" w:cs="Times New Roman"/>
          <w:sz w:val="24"/>
          <w:szCs w:val="24"/>
        </w:rPr>
        <w:t xml:space="preserve"> unutar teme kružnog gospodarenja prostorom i zgradama, a podrazumijevao je pregled znanstveno-istraživačkih platformi koje se bave tematikom kružnog gospodarstva, s naglaskom na prostor i zgrade te istraživanje okvira primjene kružnog gospodarstva na prostoru RH.</w:t>
      </w:r>
    </w:p>
    <w:p w14:paraId="45D05854" w14:textId="3A6DBC84"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Interdisciplinarna radionica</w:t>
      </w:r>
      <w:r>
        <w:rPr>
          <w:rStyle w:val="Referencafusnote"/>
          <w:rFonts w:ascii="Times New Roman" w:hAnsi="Times New Roman" w:cs="Times New Roman"/>
          <w:bCs/>
          <w:sz w:val="24"/>
          <w:szCs w:val="24"/>
        </w:rPr>
        <w:footnoteReference w:id="40"/>
      </w:r>
      <w:r>
        <w:rPr>
          <w:rFonts w:ascii="Times New Roman" w:hAnsi="Times New Roman" w:cs="Times New Roman"/>
          <w:b/>
          <w:sz w:val="24"/>
          <w:szCs w:val="24"/>
        </w:rPr>
        <w:t xml:space="preserve"> </w:t>
      </w:r>
      <w:r>
        <w:rPr>
          <w:rFonts w:ascii="Times New Roman" w:hAnsi="Times New Roman" w:cs="Times New Roman"/>
          <w:sz w:val="24"/>
          <w:szCs w:val="24"/>
        </w:rPr>
        <w:t>organizirana je u obliku stručne rasprave predstavnika akademske zajednice, javnog i privatnog sektora radi informiranja dionika i upoznavanja s temom razvoja kružnog gospodarenja zgradama, identificiranja potreba</w:t>
      </w:r>
      <w:r w:rsidR="00E16597">
        <w:rPr>
          <w:rFonts w:ascii="Times New Roman" w:hAnsi="Times New Roman" w:cs="Times New Roman"/>
          <w:sz w:val="24"/>
          <w:szCs w:val="24"/>
        </w:rPr>
        <w:t>,</w:t>
      </w:r>
      <w:r>
        <w:rPr>
          <w:rFonts w:ascii="Times New Roman" w:hAnsi="Times New Roman" w:cs="Times New Roman"/>
          <w:sz w:val="24"/>
          <w:szCs w:val="24"/>
        </w:rPr>
        <w:t xml:space="preserve"> kao i izazovima za provođenje.</w:t>
      </w:r>
    </w:p>
    <w:p w14:paraId="45D05855"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Anketni upitnik</w:t>
      </w:r>
      <w:r>
        <w:rPr>
          <w:rStyle w:val="Referencafusnote"/>
          <w:rFonts w:ascii="Times New Roman" w:hAnsi="Times New Roman" w:cs="Times New Roman"/>
          <w:sz w:val="24"/>
          <w:szCs w:val="24"/>
        </w:rPr>
        <w:footnoteReference w:id="41"/>
      </w:r>
      <w:r>
        <w:rPr>
          <w:rFonts w:ascii="Times New Roman" w:hAnsi="Times New Roman" w:cs="Times New Roman"/>
          <w:sz w:val="24"/>
          <w:szCs w:val="24"/>
        </w:rPr>
        <w:t xml:space="preserve"> proveden je s predstavnicima jedinica lokalne i područne (regionalne) samouprave, kako bi se utvrdila upoznatost s temom kružnog gospodarenja prostorom i zgradama te potencijali eventualne primjene iste.</w:t>
      </w:r>
    </w:p>
    <w:p w14:paraId="45D05856" w14:textId="77777777" w:rsidR="00496804" w:rsidRDefault="00496804">
      <w:pPr>
        <w:pStyle w:val="tekst"/>
        <w:spacing w:line="240" w:lineRule="auto"/>
        <w:rPr>
          <w:rFonts w:ascii="Times New Roman" w:hAnsi="Times New Roman" w:cs="Times New Roman"/>
          <w:sz w:val="24"/>
          <w:szCs w:val="24"/>
        </w:rPr>
      </w:pPr>
    </w:p>
    <w:p w14:paraId="45D05857" w14:textId="6385C7FD" w:rsidR="00496804" w:rsidRDefault="00496804">
      <w:pPr>
        <w:pStyle w:val="tekst"/>
        <w:spacing w:line="240" w:lineRule="auto"/>
        <w:rPr>
          <w:rFonts w:ascii="Times New Roman" w:hAnsi="Times New Roman" w:cs="Times New Roman"/>
          <w:sz w:val="24"/>
          <w:szCs w:val="24"/>
        </w:rPr>
      </w:pPr>
    </w:p>
    <w:p w14:paraId="2B820E1D" w14:textId="3764284E" w:rsidR="00413605" w:rsidRDefault="00413605">
      <w:pPr>
        <w:pStyle w:val="tekst"/>
        <w:spacing w:line="240" w:lineRule="auto"/>
        <w:rPr>
          <w:rFonts w:ascii="Times New Roman" w:hAnsi="Times New Roman" w:cs="Times New Roman"/>
          <w:sz w:val="24"/>
          <w:szCs w:val="24"/>
        </w:rPr>
      </w:pPr>
      <w:r>
        <w:rPr>
          <w:rFonts w:ascii="Times New Roman" w:hAnsi="Times New Roman" w:cs="Times New Roman"/>
          <w:sz w:val="24"/>
          <w:szCs w:val="24"/>
        </w:rPr>
        <w:t>Svi podaci prikupljeni u ovoj fazi pripreme Programa razvoja KG su i dalje okvirni i mogu odstupati od stvarnog stanja. Prikupljanje podataka će biti moguće tek uspostavom objedinjenog sustava digitalnog evidentiranja i praćenja,</w:t>
      </w:r>
      <w:r w:rsidRPr="003617A2">
        <w:rPr>
          <w:rFonts w:ascii="Times New Roman" w:hAnsi="Times New Roman" w:cs="Times New Roman"/>
          <w:sz w:val="24"/>
          <w:szCs w:val="24"/>
        </w:rPr>
        <w:t xml:space="preserve"> </w:t>
      </w:r>
      <w:r>
        <w:rPr>
          <w:rFonts w:ascii="Times New Roman" w:hAnsi="Times New Roman" w:cs="Times New Roman"/>
          <w:sz w:val="24"/>
          <w:szCs w:val="24"/>
        </w:rPr>
        <w:t>kojeg će uspostaviti MPGI.</w:t>
      </w:r>
    </w:p>
    <w:p w14:paraId="45D05858" w14:textId="77777777" w:rsidR="00496804" w:rsidRDefault="00496804">
      <w:pPr>
        <w:pStyle w:val="tekst"/>
        <w:spacing w:line="240" w:lineRule="auto"/>
        <w:rPr>
          <w:rFonts w:ascii="Times New Roman" w:hAnsi="Times New Roman" w:cs="Times New Roman"/>
          <w:sz w:val="24"/>
          <w:szCs w:val="24"/>
        </w:rPr>
      </w:pPr>
    </w:p>
    <w:p w14:paraId="45D05859" w14:textId="3F214BF8" w:rsidR="00FB0E1A" w:rsidRDefault="00FB0E1A">
      <w:pPr>
        <w:spacing w:line="240" w:lineRule="auto"/>
        <w:jc w:val="left"/>
        <w:rPr>
          <w:rFonts w:ascii="Times New Roman" w:hAnsi="Times New Roman"/>
          <w:sz w:val="24"/>
          <w:lang w:eastAsia="hr-HR"/>
        </w:rPr>
      </w:pPr>
      <w:r>
        <w:rPr>
          <w:rFonts w:ascii="Times New Roman" w:hAnsi="Times New Roman"/>
          <w:sz w:val="24"/>
        </w:rPr>
        <w:br w:type="page"/>
      </w:r>
    </w:p>
    <w:p w14:paraId="45D0585A"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40" w:name="_Toc51851624"/>
      <w:r>
        <w:rPr>
          <w:rFonts w:ascii="Times New Roman" w:hAnsi="Times New Roman" w:cs="Times New Roman"/>
          <w:sz w:val="24"/>
          <w:szCs w:val="24"/>
        </w:rPr>
        <w:lastRenderedPageBreak/>
        <w:t>TIPOLOGIJA I KORISTI KRUŽNOG GOSPODARENJA PROSTOROM I ZGRADAMA</w:t>
      </w:r>
      <w:bookmarkEnd w:id="40"/>
    </w:p>
    <w:p w14:paraId="45D0585B" w14:textId="77777777" w:rsidR="00496804" w:rsidRDefault="00496804">
      <w:pPr>
        <w:spacing w:line="240" w:lineRule="auto"/>
        <w:rPr>
          <w:rFonts w:ascii="Times New Roman" w:hAnsi="Times New Roman"/>
          <w:sz w:val="24"/>
          <w:lang w:eastAsia="hr-HR"/>
        </w:rPr>
      </w:pPr>
    </w:p>
    <w:p w14:paraId="45D0585C" w14:textId="77777777" w:rsidR="00496804" w:rsidRDefault="0037359D">
      <w:pPr>
        <w:pStyle w:val="Naslov2"/>
        <w:ind w:left="426" w:hanging="426"/>
        <w:rPr>
          <w:rFonts w:ascii="Times New Roman" w:hAnsi="Times New Roman" w:cs="Times New Roman"/>
          <w:color w:val="auto"/>
          <w:sz w:val="24"/>
          <w:szCs w:val="24"/>
        </w:rPr>
      </w:pPr>
      <w:bookmarkStart w:id="41" w:name="_Toc51851625"/>
      <w:r>
        <w:rPr>
          <w:rFonts w:ascii="Times New Roman" w:hAnsi="Times New Roman" w:cs="Times New Roman"/>
          <w:color w:val="auto"/>
          <w:sz w:val="24"/>
          <w:szCs w:val="24"/>
        </w:rPr>
        <w:t>TIPOLOGIJA KRUŽNOG GOSPODARENJA PROSTOROM I ZGRADAMA</w:t>
      </w:r>
      <w:bookmarkEnd w:id="41"/>
    </w:p>
    <w:p w14:paraId="45D0585D" w14:textId="77777777" w:rsidR="00496804" w:rsidRDefault="00496804">
      <w:pPr>
        <w:rPr>
          <w:lang w:eastAsia="hr-HR"/>
        </w:rPr>
      </w:pPr>
    </w:p>
    <w:p w14:paraId="45D0585E" w14:textId="1E5624EE" w:rsidR="00496804" w:rsidRDefault="0037359D">
      <w:pPr>
        <w:pStyle w:val="tekst"/>
        <w:spacing w:line="240" w:lineRule="auto"/>
        <w:rPr>
          <w:rFonts w:ascii="Times New Roman" w:hAnsi="Times New Roman" w:cs="Times New Roman"/>
          <w:sz w:val="24"/>
          <w:szCs w:val="24"/>
          <w:u w:color="942192"/>
        </w:rPr>
      </w:pPr>
      <w:r>
        <w:rPr>
          <w:rFonts w:ascii="Times New Roman" w:hAnsi="Times New Roman" w:cs="Times New Roman"/>
          <w:sz w:val="24"/>
          <w:szCs w:val="24"/>
        </w:rPr>
        <w:t>U Europskoj uniji se trenutno oko polovin</w:t>
      </w:r>
      <w:r w:rsidR="00E16597">
        <w:rPr>
          <w:rFonts w:ascii="Times New Roman" w:hAnsi="Times New Roman" w:cs="Times New Roman"/>
          <w:sz w:val="24"/>
          <w:szCs w:val="24"/>
        </w:rPr>
        <w:t>e</w:t>
      </w:r>
      <w:r>
        <w:rPr>
          <w:rFonts w:ascii="Times New Roman" w:hAnsi="Times New Roman" w:cs="Times New Roman"/>
          <w:sz w:val="24"/>
          <w:szCs w:val="24"/>
        </w:rPr>
        <w:t xml:space="preserve"> svih ekstrahiranih materijala, energije i vode troši prema linearnom modelu izgradnje i korištenja zgrada. Također, građevinski sektor stvara otprilike trećinu ukupne količine otpada</w:t>
      </w:r>
      <w:r>
        <w:rPr>
          <w:rStyle w:val="Referencafusnote"/>
          <w:rFonts w:ascii="Times New Roman" w:hAnsi="Times New Roman" w:cs="Times New Roman"/>
          <w:sz w:val="24"/>
          <w:szCs w:val="24"/>
        </w:rPr>
        <w:footnoteReference w:id="42"/>
      </w:r>
      <w:r>
        <w:rPr>
          <w:rFonts w:ascii="Times New Roman" w:hAnsi="Times New Roman" w:cs="Times New Roman"/>
          <w:sz w:val="24"/>
          <w:szCs w:val="24"/>
        </w:rPr>
        <w:t xml:space="preserve">. Sve navedeno rezultira snažnim pritiscima na okoliš do kojih dolazi u različitim fazama životnog vijeka zgrade, uključujući proizvodnju građevnih proizvoda, izgradnju zgrade, njezino korištenje i obnovu te gospodarenje građevnim otpadom koji nastaje. </w:t>
      </w:r>
      <w:r>
        <w:rPr>
          <w:rFonts w:ascii="Times New Roman" w:hAnsi="Times New Roman" w:cs="Times New Roman"/>
          <w:sz w:val="24"/>
          <w:szCs w:val="24"/>
          <w:u w:color="942192"/>
        </w:rPr>
        <w:t>Potrošnja prirodnih resursa dvostruko premašuje njihovu proizvodnju što ukazuje na neodrživost gospodarstva. Vrijednost resursa u linearnom modelu gospodarenja je u kontinuiranom padu od faze sirovine, preko konačnog proizvoda pa sve do otpada.</w:t>
      </w:r>
    </w:p>
    <w:p w14:paraId="45D0585F" w14:textId="77777777" w:rsidR="00496804" w:rsidRDefault="00496804">
      <w:pPr>
        <w:pStyle w:val="tekst"/>
        <w:spacing w:line="240" w:lineRule="auto"/>
        <w:rPr>
          <w:rFonts w:ascii="Times New Roman" w:hAnsi="Times New Roman" w:cs="Times New Roman"/>
          <w:sz w:val="24"/>
          <w:szCs w:val="24"/>
        </w:rPr>
      </w:pPr>
    </w:p>
    <w:p w14:paraId="45D0586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noProof/>
          <w:sz w:val="24"/>
          <w:szCs w:val="24"/>
          <w:u w:color="942192"/>
        </w:rPr>
        <mc:AlternateContent>
          <mc:Choice Requires="wpg">
            <w:drawing>
              <wp:anchor distT="0" distB="0" distL="114300" distR="114300" simplePos="0" relativeHeight="251658243" behindDoc="0" locked="0" layoutInCell="1" allowOverlap="1" wp14:anchorId="45D061F5" wp14:editId="45D061F6">
                <wp:simplePos x="0" y="0"/>
                <wp:positionH relativeFrom="page">
                  <wp:align>center</wp:align>
                </wp:positionH>
                <wp:positionV relativeFrom="paragraph">
                  <wp:posOffset>0</wp:posOffset>
                </wp:positionV>
                <wp:extent cx="4964430" cy="3502660"/>
                <wp:effectExtent l="0" t="0" r="8255" b="2540"/>
                <wp:wrapTopAndBottom/>
                <wp:docPr id="3" name="Grupa 3"/>
                <wp:cNvGraphicFramePr/>
                <a:graphic xmlns:a="http://schemas.openxmlformats.org/drawingml/2006/main">
                  <a:graphicData uri="http://schemas.microsoft.com/office/word/2010/wordprocessingGroup">
                    <wpg:wgp>
                      <wpg:cNvGrpSpPr/>
                      <wpg:grpSpPr>
                        <a:xfrm>
                          <a:off x="0" y="0"/>
                          <a:ext cx="4964400" cy="3502800"/>
                          <a:chOff x="0" y="0"/>
                          <a:chExt cx="4180470" cy="3435453"/>
                        </a:xfrm>
                      </wpg:grpSpPr>
                      <pic:pic xmlns:pic="http://schemas.openxmlformats.org/drawingml/2006/picture">
                        <pic:nvPicPr>
                          <pic:cNvPr id="6" name="Picture 6" descr="A close up of a sig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92055" y="159488"/>
                            <a:ext cx="1288415" cy="3275965"/>
                          </a:xfrm>
                          <a:prstGeom prst="rect">
                            <a:avLst/>
                          </a:prstGeom>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1485" cy="3430270"/>
                          </a:xfrm>
                          <a:prstGeom prst="rect">
                            <a:avLst/>
                          </a:prstGeom>
                        </pic:spPr>
                      </pic:pic>
                    </wpg:wgp>
                  </a:graphicData>
                </a:graphic>
              </wp:anchor>
            </w:drawing>
          </mc:Choice>
          <mc:Fallback>
            <w:pict>
              <v:group w14:anchorId="6B85381E" id="Grupa 3" o:spid="_x0000_s1026" style="position:absolute;margin-left:0;margin-top:0;width:390.9pt;height:275.8pt;z-index:251658243;mso-position-horizontal:center;mso-position-horizontal-relative:page" coordsize="41804,343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">
                <v:shape id="Picture 6" o:spid="_x0000_s1027" type="#_x0000_t75" alt="A close up of a sign&#10;&#10;Description automatically generated" style="position:absolute;left:28920;top:1594;width:12884;height:3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">
                  <v:imagedata r:id="rId19" o:title="A close up of a sign&#10;&#10;Description automatically generated"/>
                </v:shape>
                <v:shape id="Picture 4" o:spid="_x0000_s1028" type="#_x0000_t75" style="position:absolute;width:29914;height:3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">
                  <v:imagedata r:id="rId20" o:title=""/>
                </v:shape>
                <w10:wrap type="topAndBottom" anchorx="page"/>
              </v:group>
            </w:pict>
          </mc:Fallback>
        </mc:AlternateContent>
      </w:r>
    </w:p>
    <w:p w14:paraId="45D05861" w14:textId="794E9C34" w:rsidR="00496804" w:rsidRDefault="0037359D">
      <w:pPr>
        <w:pStyle w:val="Opisslike"/>
        <w:ind w:left="1134"/>
        <w:rPr>
          <w:rFonts w:ascii="Times New Roman" w:hAnsi="Times New Roman"/>
          <w:b w:val="0"/>
          <w:bCs w:val="0"/>
          <w:i/>
          <w:iCs/>
          <w:sz w:val="24"/>
          <w:szCs w:val="24"/>
        </w:rPr>
      </w:pPr>
      <w:bookmarkStart w:id="42" w:name="_Hlk32916235"/>
      <w:r>
        <w:rPr>
          <w:rFonts w:ascii="Times New Roman" w:hAnsi="Times New Roman"/>
          <w:b w:val="0"/>
          <w:bCs w:val="0"/>
          <w:i/>
          <w:iCs/>
          <w:sz w:val="24"/>
          <w:szCs w:val="24"/>
        </w:rPr>
        <w:t xml:space="preserve">Slika </w:t>
      </w:r>
      <w:r>
        <w:rPr>
          <w:rFonts w:ascii="Times New Roman" w:hAnsi="Times New Roman"/>
          <w:b w:val="0"/>
          <w:bCs w:val="0"/>
          <w:i/>
          <w:iCs/>
          <w:sz w:val="24"/>
          <w:szCs w:val="24"/>
        </w:rPr>
        <w:fldChar w:fldCharType="begin"/>
      </w:r>
      <w:r>
        <w:rPr>
          <w:rFonts w:ascii="Times New Roman" w:hAnsi="Times New Roman"/>
          <w:b w:val="0"/>
          <w:bCs w:val="0"/>
          <w:i/>
          <w:iCs/>
          <w:sz w:val="24"/>
          <w:szCs w:val="24"/>
        </w:rPr>
        <w:instrText xml:space="preserve"> SEQ Sl. \* ARABIC </w:instrText>
      </w:r>
      <w:r>
        <w:rPr>
          <w:rFonts w:ascii="Times New Roman" w:hAnsi="Times New Roman"/>
          <w:b w:val="0"/>
          <w:bCs w:val="0"/>
          <w:i/>
          <w:iCs/>
          <w:sz w:val="24"/>
          <w:szCs w:val="24"/>
        </w:rPr>
        <w:fldChar w:fldCharType="separate"/>
      </w:r>
      <w:r w:rsidR="002D7DE9">
        <w:rPr>
          <w:rFonts w:ascii="Times New Roman" w:hAnsi="Times New Roman"/>
          <w:b w:val="0"/>
          <w:bCs w:val="0"/>
          <w:i/>
          <w:iCs/>
          <w:noProof/>
          <w:sz w:val="24"/>
          <w:szCs w:val="24"/>
        </w:rPr>
        <w:t>1</w:t>
      </w:r>
      <w:r>
        <w:rPr>
          <w:rFonts w:ascii="Times New Roman" w:hAnsi="Times New Roman"/>
          <w:b w:val="0"/>
          <w:bCs w:val="0"/>
          <w:i/>
          <w:iCs/>
          <w:sz w:val="24"/>
          <w:szCs w:val="24"/>
        </w:rPr>
        <w:fldChar w:fldCharType="end"/>
      </w:r>
      <w:r>
        <w:rPr>
          <w:rFonts w:ascii="Times New Roman" w:hAnsi="Times New Roman"/>
          <w:b w:val="0"/>
          <w:bCs w:val="0"/>
          <w:i/>
          <w:iCs/>
          <w:sz w:val="24"/>
          <w:szCs w:val="24"/>
        </w:rPr>
        <w:t>. Usporedba kružnog i linearnog modela gospodarenja zgradama</w:t>
      </w:r>
    </w:p>
    <w:bookmarkEnd w:id="42"/>
    <w:p w14:paraId="45D05862" w14:textId="77777777" w:rsidR="00496804" w:rsidRDefault="00496804">
      <w:pPr>
        <w:spacing w:line="240" w:lineRule="auto"/>
        <w:rPr>
          <w:rFonts w:ascii="Times New Roman" w:hAnsi="Times New Roman"/>
          <w:sz w:val="24"/>
        </w:rPr>
      </w:pPr>
    </w:p>
    <w:p w14:paraId="45D0586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Postojeći prevladavajući linearni model gradnje i korištenja prostora i zgrada je dugoročno neodrživ te su potrebne mjere kojima će se osigurati zadržavanje vrijednosti resursa kroz sve faze njegovog c</w:t>
      </w:r>
      <w:r>
        <w:rPr>
          <w:rFonts w:ascii="Times New Roman" w:hAnsi="Times New Roman"/>
          <w:sz w:val="24"/>
          <w:szCs w:val="24"/>
        </w:rPr>
        <w:t>jeloživotnog</w:t>
      </w:r>
      <w:r>
        <w:rPr>
          <w:rFonts w:ascii="Times New Roman" w:hAnsi="Times New Roman" w:cs="Times New Roman"/>
          <w:sz w:val="24"/>
          <w:szCs w:val="24"/>
        </w:rPr>
        <w:t xml:space="preserve"> vijeka (sirovina, proizvodnja, upotreba, oporaba). Postojeći prostori i zgrade su bitni resursi koji bi, uz primjenu načela kružnog gospodarenja, mjera energetske učinkovitosti i obnovljivih izvora energije, mogli rezultirati značajnim smanjenjem nastanka građevnog otpada, a onda i emisija stakleničkih plinova i razvojem niza ostalih pozitivnih gospodarskih učinaka. Uspješna primjena kružnog gospodarenja u zgradarstvu ovisi stoga o povezivanju okolišnih i gospodarskih aspekata projekata. </w:t>
      </w:r>
    </w:p>
    <w:p w14:paraId="45D05864" w14:textId="77777777" w:rsidR="00496804" w:rsidRDefault="00496804">
      <w:pPr>
        <w:pStyle w:val="tekst"/>
        <w:spacing w:line="240" w:lineRule="auto"/>
        <w:rPr>
          <w:rFonts w:ascii="Times New Roman" w:hAnsi="Times New Roman" w:cs="Times New Roman"/>
          <w:sz w:val="24"/>
          <w:szCs w:val="24"/>
          <w:u w:color="942192"/>
        </w:rPr>
      </w:pPr>
    </w:p>
    <w:p w14:paraId="45D05865"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linearnom modelu se odluke o tome hoće li se pojedina zgrada obnavljati, odnosno rušiti te graditi nova, donose uz uvažavanje gospodarskih kriterija. Tradicionalna analiza troškova i koristi često </w:t>
      </w:r>
      <w:r>
        <w:rPr>
          <w:rFonts w:ascii="Times New Roman" w:hAnsi="Times New Roman" w:cs="Times New Roman"/>
          <w:sz w:val="24"/>
          <w:szCs w:val="24"/>
        </w:rPr>
        <w:lastRenderedPageBreak/>
        <w:t xml:space="preserve">pokazuje da je ekonomičnije rušiti i zatim ponovno izgraditi, no ovaj rezultat ovisi o tome što se uključuje u proračun. Valjalo bi imati na umu da je energija samo jedan od niza resursa u cjelokupnom procesu gradnje i održavanja zgrada. Kružna obnova trebala bi obuhvatiti cjelovitu sliku vezano za korištenje resursa u cjeloživotnom vijeku zgrade. Dodavanjem okolišnih kriterija ukupnoj procjeni, obrazac ponašanja bi se mogao značajnije promijeniti. </w:t>
      </w:r>
    </w:p>
    <w:p w14:paraId="45D05866" w14:textId="77777777" w:rsidR="00496804" w:rsidRDefault="00496804">
      <w:pPr>
        <w:pStyle w:val="tekst"/>
        <w:spacing w:line="240" w:lineRule="auto"/>
        <w:rPr>
          <w:rFonts w:ascii="Times New Roman" w:hAnsi="Times New Roman" w:cs="Times New Roman"/>
          <w:sz w:val="24"/>
          <w:szCs w:val="24"/>
          <w:u w:color="942192"/>
        </w:rPr>
      </w:pPr>
    </w:p>
    <w:p w14:paraId="45D05867" w14:textId="77777777" w:rsidR="00496804" w:rsidRDefault="00496804">
      <w:pPr>
        <w:pStyle w:val="tekst"/>
        <w:spacing w:line="240" w:lineRule="auto"/>
        <w:rPr>
          <w:rFonts w:ascii="Times New Roman" w:hAnsi="Times New Roman" w:cs="Times New Roman"/>
          <w:sz w:val="24"/>
          <w:szCs w:val="24"/>
          <w:u w:color="942192"/>
        </w:rPr>
      </w:pPr>
    </w:p>
    <w:p w14:paraId="45D05868" w14:textId="77777777" w:rsidR="00496804" w:rsidRDefault="00496804">
      <w:pPr>
        <w:pStyle w:val="tekst"/>
        <w:spacing w:line="240" w:lineRule="auto"/>
        <w:rPr>
          <w:rFonts w:ascii="Times New Roman" w:hAnsi="Times New Roman" w:cs="Times New Roman"/>
          <w:sz w:val="24"/>
          <w:szCs w:val="24"/>
          <w:u w:color="942192"/>
        </w:rPr>
      </w:pPr>
    </w:p>
    <w:p w14:paraId="45D05869" w14:textId="77777777" w:rsidR="00496804" w:rsidRDefault="0037359D">
      <w:pPr>
        <w:pStyle w:val="tekst"/>
        <w:spacing w:line="240" w:lineRule="auto"/>
        <w:rPr>
          <w:rFonts w:ascii="Times New Roman" w:hAnsi="Times New Roman" w:cs="Times New Roman"/>
          <w:sz w:val="24"/>
          <w:szCs w:val="24"/>
          <w:u w:color="942192"/>
        </w:rPr>
      </w:pPr>
      <w:r>
        <w:rPr>
          <w:noProof/>
        </w:rPr>
        <w:drawing>
          <wp:inline distT="0" distB="0" distL="0" distR="0" wp14:anchorId="45D061F7" wp14:editId="45D061F8">
            <wp:extent cx="6276975" cy="2545715"/>
            <wp:effectExtent l="0" t="0" r="0" b="6985"/>
            <wp:docPr id="128000710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7103" name="Slika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6976" cy="2546111"/>
                    </a:xfrm>
                    <a:prstGeom prst="rect">
                      <a:avLst/>
                    </a:prstGeom>
                  </pic:spPr>
                </pic:pic>
              </a:graphicData>
            </a:graphic>
          </wp:inline>
        </w:drawing>
      </w:r>
    </w:p>
    <w:p w14:paraId="45D0586A" w14:textId="7E08E340" w:rsidR="00496804" w:rsidRDefault="0037359D">
      <w:pPr>
        <w:pStyle w:val="Opisslike"/>
        <w:rPr>
          <w:rFonts w:ascii="Times New Roman" w:hAnsi="Times New Roman"/>
          <w:b w:val="0"/>
          <w:bCs w:val="0"/>
          <w:i/>
          <w:iCs/>
          <w:sz w:val="24"/>
          <w:szCs w:val="24"/>
        </w:rPr>
      </w:pPr>
      <w:bookmarkStart w:id="43" w:name="_Hlk32916150"/>
      <w:r>
        <w:rPr>
          <w:rFonts w:ascii="Times New Roman" w:hAnsi="Times New Roman"/>
          <w:b w:val="0"/>
          <w:bCs w:val="0"/>
          <w:i/>
          <w:iCs/>
          <w:sz w:val="24"/>
          <w:szCs w:val="24"/>
        </w:rPr>
        <w:t xml:space="preserve">Slika </w:t>
      </w:r>
      <w:r>
        <w:rPr>
          <w:rFonts w:ascii="Times New Roman" w:hAnsi="Times New Roman"/>
          <w:b w:val="0"/>
          <w:bCs w:val="0"/>
          <w:i/>
          <w:iCs/>
          <w:sz w:val="24"/>
          <w:szCs w:val="24"/>
        </w:rPr>
        <w:fldChar w:fldCharType="begin"/>
      </w:r>
      <w:r>
        <w:rPr>
          <w:rFonts w:ascii="Times New Roman" w:hAnsi="Times New Roman"/>
          <w:b w:val="0"/>
          <w:bCs w:val="0"/>
          <w:i/>
          <w:iCs/>
          <w:sz w:val="24"/>
          <w:szCs w:val="24"/>
        </w:rPr>
        <w:instrText xml:space="preserve"> SEQ Sl. \* ARABIC </w:instrText>
      </w:r>
      <w:r>
        <w:rPr>
          <w:rFonts w:ascii="Times New Roman" w:hAnsi="Times New Roman"/>
          <w:b w:val="0"/>
          <w:bCs w:val="0"/>
          <w:i/>
          <w:iCs/>
          <w:sz w:val="24"/>
          <w:szCs w:val="24"/>
        </w:rPr>
        <w:fldChar w:fldCharType="separate"/>
      </w:r>
      <w:r w:rsidR="002D7DE9">
        <w:rPr>
          <w:rFonts w:ascii="Times New Roman" w:hAnsi="Times New Roman"/>
          <w:b w:val="0"/>
          <w:bCs w:val="0"/>
          <w:i/>
          <w:iCs/>
          <w:noProof/>
          <w:sz w:val="24"/>
          <w:szCs w:val="24"/>
        </w:rPr>
        <w:t>2</w:t>
      </w:r>
      <w:r>
        <w:rPr>
          <w:rFonts w:ascii="Times New Roman" w:hAnsi="Times New Roman"/>
          <w:b w:val="0"/>
          <w:bCs w:val="0"/>
          <w:i/>
          <w:iCs/>
          <w:sz w:val="24"/>
          <w:szCs w:val="24"/>
        </w:rPr>
        <w:fldChar w:fldCharType="end"/>
      </w:r>
      <w:r>
        <w:rPr>
          <w:rFonts w:ascii="Times New Roman" w:hAnsi="Times New Roman"/>
          <w:b w:val="0"/>
          <w:bCs w:val="0"/>
          <w:i/>
          <w:iCs/>
          <w:sz w:val="24"/>
          <w:szCs w:val="24"/>
        </w:rPr>
        <w:t xml:space="preserve">. Dijagram povećanja kružnosti </w:t>
      </w:r>
    </w:p>
    <w:bookmarkEnd w:id="43"/>
    <w:p w14:paraId="45D0586B" w14:textId="77777777" w:rsidR="00496804" w:rsidRDefault="00496804">
      <w:pPr>
        <w:spacing w:line="240" w:lineRule="auto"/>
        <w:rPr>
          <w:rFonts w:ascii="Times New Roman" w:hAnsi="Times New Roman"/>
          <w:sz w:val="24"/>
        </w:rPr>
      </w:pPr>
    </w:p>
    <w:p w14:paraId="45D0586C" w14:textId="77777777" w:rsidR="00496804" w:rsidRDefault="00496804">
      <w:pPr>
        <w:spacing w:line="240" w:lineRule="auto"/>
        <w:rPr>
          <w:rFonts w:ascii="Times New Roman" w:hAnsi="Times New Roman"/>
          <w:sz w:val="24"/>
        </w:rPr>
      </w:pPr>
    </w:p>
    <w:p w14:paraId="45D0586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sklopu procesa kružnog gospodarstva resursi općenito zadržavaju vrijednost jer se učinkovito i neprekidno koriste, odnos primarnih i sekundarnih resursa se optimizira, radikalno se smanjuje količina otpada, racionalizira se potrošnja energije i uporaba materijala, sprječava stvaranje otpada, potiče recikliranje i smanjenje količina opasnih kemikalija prilikom čega posljedično dolazi do razvoja novih materijala i tehnologija. </w:t>
      </w:r>
    </w:p>
    <w:p w14:paraId="45D0586E" w14:textId="77777777" w:rsidR="00496804" w:rsidRDefault="00496804">
      <w:pPr>
        <w:pStyle w:val="tekst"/>
        <w:spacing w:line="240" w:lineRule="auto"/>
        <w:rPr>
          <w:rFonts w:ascii="Times New Roman" w:hAnsi="Times New Roman" w:cs="Times New Roman"/>
          <w:sz w:val="24"/>
          <w:szCs w:val="24"/>
          <w:u w:color="942192"/>
        </w:rPr>
      </w:pPr>
    </w:p>
    <w:p w14:paraId="45D0586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Tipologija se postavlja sa svrhom provođenja ciljeva kružnog gospodarenja prostorom i zgradama na način da se prostori i zgrade (zatečeni i novo planirani) planiraju, grade, koriste, ponovno koriste bez nepotrebnog iscrpljivanja resursa, zagađenja okoliša i degradacije ekosustava. Prostori i zgrade trebaju biti izgrađeni i korišteni na ekonomski odgovoran način te doprinositi dobrobiti ljudi i zajednica.</w:t>
      </w:r>
    </w:p>
    <w:p w14:paraId="45D05870" w14:textId="77777777" w:rsidR="00496804" w:rsidRDefault="00496804">
      <w:pPr>
        <w:pStyle w:val="tekst"/>
        <w:spacing w:line="240" w:lineRule="auto"/>
        <w:rPr>
          <w:rFonts w:ascii="Times New Roman" w:hAnsi="Times New Roman" w:cs="Times New Roman"/>
          <w:sz w:val="24"/>
          <w:szCs w:val="24"/>
          <w:u w:color="942192"/>
        </w:rPr>
      </w:pPr>
    </w:p>
    <w:p w14:paraId="45D05871" w14:textId="77777777" w:rsidR="00496804" w:rsidRDefault="00496804">
      <w:pPr>
        <w:pStyle w:val="tekst"/>
        <w:spacing w:line="240" w:lineRule="auto"/>
        <w:rPr>
          <w:rFonts w:ascii="Times New Roman" w:hAnsi="Times New Roman" w:cs="Times New Roman"/>
          <w:sz w:val="24"/>
          <w:szCs w:val="24"/>
          <w:u w:color="942192"/>
        </w:rPr>
      </w:pPr>
    </w:p>
    <w:p w14:paraId="45D0587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Navedeni procesi mogu se promatrati kroz različite faze i tipove projekata:</w:t>
      </w:r>
    </w:p>
    <w:p w14:paraId="45D05873" w14:textId="77777777" w:rsidR="00496804" w:rsidRDefault="0037359D">
      <w:pPr>
        <w:spacing w:line="240" w:lineRule="auto"/>
        <w:rPr>
          <w:rFonts w:ascii="Times New Roman" w:hAnsi="Times New Roman"/>
          <w:b/>
          <w:sz w:val="24"/>
        </w:rPr>
      </w:pPr>
      <w:r>
        <w:rPr>
          <w:rFonts w:ascii="Times New Roman" w:hAnsi="Times New Roman"/>
          <w:b/>
          <w:noProof/>
          <w:sz w:val="24"/>
          <w:lang w:eastAsia="hr-HR"/>
        </w:rPr>
        <w:drawing>
          <wp:anchor distT="0" distB="0" distL="114300" distR="114300" simplePos="0" relativeHeight="251658244" behindDoc="1" locked="0" layoutInCell="1" allowOverlap="1" wp14:anchorId="45D061F9" wp14:editId="45D061FA">
            <wp:simplePos x="0" y="0"/>
            <wp:positionH relativeFrom="column">
              <wp:posOffset>409575</wp:posOffset>
            </wp:positionH>
            <wp:positionV relativeFrom="paragraph">
              <wp:posOffset>151765</wp:posOffset>
            </wp:positionV>
            <wp:extent cx="5611495" cy="1326515"/>
            <wp:effectExtent l="57150" t="19050" r="65405" b="0"/>
            <wp:wrapTight wrapText="bothSides">
              <wp:wrapPolygon edited="0">
                <wp:start x="-147" y="-310"/>
                <wp:lineTo x="-220" y="3102"/>
                <wp:lineTo x="10779" y="4963"/>
                <wp:lineTo x="-220" y="6514"/>
                <wp:lineTo x="-220" y="17061"/>
                <wp:lineTo x="4473" y="18302"/>
                <wp:lineTo x="13712" y="18302"/>
                <wp:lineTo x="14226" y="17681"/>
                <wp:lineTo x="21778" y="15200"/>
                <wp:lineTo x="21778" y="13959"/>
                <wp:lineTo x="11952" y="9926"/>
                <wp:lineTo x="21558" y="8065"/>
                <wp:lineTo x="21558" y="6514"/>
                <wp:lineTo x="10779" y="4963"/>
                <wp:lineTo x="11879" y="4963"/>
                <wp:lineTo x="21778" y="620"/>
                <wp:lineTo x="21778" y="-310"/>
                <wp:lineTo x="-147" y="-310"/>
              </wp:wrapPolygon>
            </wp:wrapTight>
            <wp:docPr id="20" name="Dij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45D05874" w14:textId="77777777" w:rsidR="00496804" w:rsidRDefault="00496804">
      <w:pPr>
        <w:spacing w:line="240" w:lineRule="auto"/>
        <w:rPr>
          <w:rFonts w:ascii="Times New Roman" w:hAnsi="Times New Roman"/>
          <w:b/>
          <w:sz w:val="24"/>
        </w:rPr>
      </w:pPr>
    </w:p>
    <w:p w14:paraId="45D05875" w14:textId="77777777" w:rsidR="00496804" w:rsidRDefault="00496804">
      <w:pPr>
        <w:spacing w:line="240" w:lineRule="auto"/>
        <w:rPr>
          <w:rFonts w:ascii="Times New Roman" w:hAnsi="Times New Roman"/>
          <w:b/>
          <w:sz w:val="24"/>
        </w:rPr>
      </w:pPr>
    </w:p>
    <w:p w14:paraId="45D05876" w14:textId="77777777" w:rsidR="00496804" w:rsidRDefault="00496804">
      <w:pPr>
        <w:spacing w:line="240" w:lineRule="auto"/>
        <w:rPr>
          <w:rFonts w:ascii="Times New Roman" w:hAnsi="Times New Roman"/>
          <w:b/>
          <w:sz w:val="24"/>
        </w:rPr>
      </w:pPr>
    </w:p>
    <w:p w14:paraId="45D05877" w14:textId="77777777" w:rsidR="00496804" w:rsidRDefault="00496804">
      <w:pPr>
        <w:spacing w:line="240" w:lineRule="auto"/>
        <w:rPr>
          <w:rFonts w:ascii="Times New Roman" w:hAnsi="Times New Roman"/>
          <w:b/>
          <w:sz w:val="24"/>
        </w:rPr>
      </w:pPr>
    </w:p>
    <w:p w14:paraId="45D05878" w14:textId="77777777" w:rsidR="00496804" w:rsidRDefault="00496804">
      <w:pPr>
        <w:spacing w:line="240" w:lineRule="auto"/>
        <w:rPr>
          <w:rFonts w:ascii="Times New Roman" w:hAnsi="Times New Roman"/>
          <w:b/>
          <w:sz w:val="24"/>
        </w:rPr>
      </w:pPr>
    </w:p>
    <w:p w14:paraId="45D05879" w14:textId="77777777" w:rsidR="00496804" w:rsidRDefault="00496804">
      <w:pPr>
        <w:spacing w:line="240" w:lineRule="auto"/>
        <w:rPr>
          <w:rFonts w:ascii="Times New Roman" w:hAnsi="Times New Roman"/>
          <w:b/>
          <w:sz w:val="24"/>
        </w:rPr>
      </w:pPr>
    </w:p>
    <w:p w14:paraId="45D0587A" w14:textId="77777777" w:rsidR="00496804" w:rsidRDefault="00496804">
      <w:pPr>
        <w:spacing w:line="240" w:lineRule="auto"/>
        <w:rPr>
          <w:rFonts w:ascii="Times New Roman" w:hAnsi="Times New Roman"/>
          <w:b/>
          <w:sz w:val="24"/>
        </w:rPr>
      </w:pPr>
    </w:p>
    <w:p w14:paraId="45D0587B" w14:textId="77777777" w:rsidR="00496804" w:rsidRDefault="00496804">
      <w:pPr>
        <w:spacing w:line="240" w:lineRule="auto"/>
        <w:rPr>
          <w:rFonts w:ascii="Times New Roman" w:hAnsi="Times New Roman"/>
          <w:b/>
          <w:sz w:val="24"/>
        </w:rPr>
      </w:pPr>
    </w:p>
    <w:p w14:paraId="45D0587C" w14:textId="77777777" w:rsidR="00496804" w:rsidRDefault="0037359D">
      <w:pPr>
        <w:pStyle w:val="tekst"/>
        <w:spacing w:line="240" w:lineRule="auto"/>
        <w:rPr>
          <w:rFonts w:ascii="Times New Roman" w:hAnsi="Times New Roman" w:cs="Times New Roman"/>
          <w:sz w:val="24"/>
          <w:szCs w:val="24"/>
          <w:u w:color="942192"/>
        </w:rPr>
      </w:pPr>
      <w:r>
        <w:rPr>
          <w:rFonts w:ascii="Times New Roman" w:hAnsi="Times New Roman" w:cs="Times New Roman"/>
          <w:sz w:val="24"/>
          <w:szCs w:val="24"/>
          <w:u w:color="942192"/>
        </w:rPr>
        <w:lastRenderedPageBreak/>
        <w:t>Tijekom planiranja i gradnje u skladu s kružnim gospodarenjem prostorom i zgradama potrebno je primjenjivati mjere za troškovno optimizirani životni vijek novih zgrada i sprječavanje nekontroliranog širenja građevinskih zemljišta. Osim navedenih svojstava prostori i zgrade trebaju:</w:t>
      </w:r>
    </w:p>
    <w:p w14:paraId="45D0587D" w14:textId="77777777" w:rsidR="00496804" w:rsidRDefault="0037359D">
      <w:pPr>
        <w:pStyle w:val="Bezproreda"/>
        <w:numPr>
          <w:ilvl w:val="0"/>
          <w:numId w:val="7"/>
        </w:numPr>
        <w:ind w:left="426" w:hanging="284"/>
        <w:jc w:val="both"/>
        <w:rPr>
          <w:rFonts w:eastAsia="Times New Roman"/>
          <w:lang w:val="hr-HR" w:eastAsia="hr-HR"/>
        </w:rPr>
      </w:pPr>
      <w:r>
        <w:rPr>
          <w:bCs/>
          <w:lang w:val="hr-HR"/>
        </w:rPr>
        <w:t>smanjiti emisije stakleničkih plinova tijekom cjeloživotnog vijeka zgrada</w:t>
      </w:r>
      <w:r>
        <w:rPr>
          <w:lang w:val="hr-HR"/>
        </w:rPr>
        <w:t xml:space="preserve"> kroz primjenu mjera za </w:t>
      </w:r>
      <w:r>
        <w:rPr>
          <w:rFonts w:eastAsia="Times New Roman"/>
          <w:lang w:val="hr-HR" w:eastAsia="hr-HR"/>
        </w:rPr>
        <w:t>smanjenje potrošnje energije i promicanje energetske učinkovitosti, u kombinaciji s povećanim korištenjem energije iz obnovljivih izvora</w:t>
      </w:r>
    </w:p>
    <w:p w14:paraId="45D0587E" w14:textId="77777777" w:rsidR="00496804" w:rsidRDefault="0037359D">
      <w:pPr>
        <w:pStyle w:val="Bezproreda"/>
        <w:numPr>
          <w:ilvl w:val="0"/>
          <w:numId w:val="7"/>
        </w:numPr>
        <w:ind w:left="426" w:hanging="284"/>
        <w:jc w:val="both"/>
        <w:rPr>
          <w:lang w:val="hr-HR"/>
        </w:rPr>
      </w:pPr>
      <w:r>
        <w:rPr>
          <w:bCs/>
          <w:lang w:val="hr-HR"/>
        </w:rPr>
        <w:t>povećati energetsku učinkovitost i smanjiti potrošnju operativne energije u novim zgradama</w:t>
      </w:r>
      <w:r>
        <w:rPr>
          <w:lang w:val="hr-HR"/>
        </w:rPr>
        <w:t xml:space="preserve"> na način da se projektiranje zgrade provodi po načelima energetski učinkovitosti, odnosno po kriterijima zgrada gotovo nulte energije (engl. nearly zero-energy building, nZEB)</w:t>
      </w:r>
    </w:p>
    <w:p w14:paraId="45D0587F" w14:textId="77777777" w:rsidR="00496804" w:rsidRDefault="0037359D">
      <w:pPr>
        <w:pStyle w:val="Bezproreda"/>
        <w:numPr>
          <w:ilvl w:val="0"/>
          <w:numId w:val="7"/>
        </w:numPr>
        <w:ind w:left="426" w:hanging="284"/>
        <w:jc w:val="both"/>
        <w:rPr>
          <w:lang w:val="hr-HR"/>
        </w:rPr>
      </w:pPr>
      <w:r>
        <w:rPr>
          <w:bCs/>
          <w:lang w:val="hr-HR"/>
        </w:rPr>
        <w:t>osigurati učinkovitu primjenu materijala i kružni životni ciklus materijala</w:t>
      </w:r>
      <w:r>
        <w:rPr>
          <w:lang w:val="hr-HR"/>
        </w:rPr>
        <w:t xml:space="preserve"> tako da se predvidi gradnja s oporabljivim materijalima kako bi se poticali kružni tokovi korištenja materijala te primjenjivali materijali s niskom ugrađenom energijom. Posebnu pažnju treba posvetiti povećanju korištenja recikliranih materijala i smanjenju količine građevnog otpada i otpada od rušenja</w:t>
      </w:r>
    </w:p>
    <w:p w14:paraId="45D05880" w14:textId="77777777" w:rsidR="00496804" w:rsidRDefault="0037359D">
      <w:pPr>
        <w:pStyle w:val="Bezproreda"/>
        <w:numPr>
          <w:ilvl w:val="0"/>
          <w:numId w:val="7"/>
        </w:numPr>
        <w:ind w:left="426" w:hanging="284"/>
        <w:jc w:val="both"/>
        <w:rPr>
          <w:lang w:val="hr-HR"/>
        </w:rPr>
      </w:pPr>
      <w:r>
        <w:rPr>
          <w:bCs/>
          <w:lang w:val="hr-HR"/>
        </w:rPr>
        <w:t>osigurati učinkovito korištenje vode</w:t>
      </w:r>
      <w:r>
        <w:rPr>
          <w:lang w:val="hr-HR"/>
        </w:rPr>
        <w:t xml:space="preserve"> koje obuhvaća mjere za korištenje uređaja i sustava za uštedu pitke vode, kao i sustave za zbrinjavanje i korištenje oborinskih voda te pročišćavanje i ponovno korištenje otpadne sive vode</w:t>
      </w:r>
    </w:p>
    <w:p w14:paraId="45D05881" w14:textId="77777777" w:rsidR="00496804" w:rsidRDefault="0037359D">
      <w:pPr>
        <w:pStyle w:val="Bezproreda"/>
        <w:numPr>
          <w:ilvl w:val="0"/>
          <w:numId w:val="7"/>
        </w:numPr>
        <w:ind w:left="426" w:hanging="284"/>
        <w:jc w:val="both"/>
        <w:rPr>
          <w:lang w:val="hr-HR"/>
        </w:rPr>
      </w:pPr>
      <w:r>
        <w:rPr>
          <w:bCs/>
          <w:lang w:val="hr-HR"/>
        </w:rPr>
        <w:t>biti zdravi i udobni</w:t>
      </w:r>
      <w:r>
        <w:rPr>
          <w:b/>
          <w:bCs/>
          <w:lang w:val="hr-HR"/>
        </w:rPr>
        <w:t xml:space="preserve"> </w:t>
      </w:r>
      <w:r>
        <w:rPr>
          <w:lang w:val="hr-HR"/>
        </w:rPr>
        <w:t>kako bi se korisnici dulje zadržavali u zgradi  te kako bi im se u njoj omogućio izuzetno ugodan i poželjan boravak u zdravom ambijentu. Kvalitetniji unutarnji prostori doprinose većoj produktivnosti radnika, učenika, studenata te smanjuju vjerojatnost bolesti, alergija i drugih zdravstvenih problema</w:t>
      </w:r>
    </w:p>
    <w:p w14:paraId="45D05882" w14:textId="77777777" w:rsidR="00496804" w:rsidRDefault="0037359D">
      <w:pPr>
        <w:pStyle w:val="Bezproreda"/>
        <w:numPr>
          <w:ilvl w:val="0"/>
          <w:numId w:val="7"/>
        </w:numPr>
        <w:ind w:left="426" w:hanging="284"/>
        <w:jc w:val="both"/>
        <w:rPr>
          <w:lang w:val="hr-HR"/>
        </w:rPr>
      </w:pPr>
      <w:r>
        <w:rPr>
          <w:bCs/>
          <w:lang w:val="hr-HR"/>
        </w:rPr>
        <w:t>osigurati prilagodljivost i otpornost na klimatske promjene</w:t>
      </w:r>
      <w:r>
        <w:rPr>
          <w:lang w:val="hr-HR"/>
        </w:rPr>
        <w:t xml:space="preserve">, </w:t>
      </w:r>
      <w:r>
        <w:rPr>
          <w:rFonts w:eastAsia="Times New Roman"/>
          <w:lang w:val="hr-HR"/>
        </w:rPr>
        <w:t>što</w:t>
      </w:r>
      <w:r>
        <w:rPr>
          <w:lang w:val="hr-HR"/>
        </w:rPr>
        <w:t xml:space="preserve"> podrazumijeva sve mjere u svrhu izgradnje zgrada koje su otporne na očekivane buduće promjene u klimi, a sve kako bi se zaštitilo zdravlje i udobnost korisnika te održala vrijednost nekretnine i umanjili rizici na vrijednost nekretnine u budućnosti </w:t>
      </w:r>
    </w:p>
    <w:p w14:paraId="45D05883" w14:textId="77777777" w:rsidR="00496804" w:rsidRDefault="0037359D">
      <w:pPr>
        <w:pStyle w:val="Bezproreda"/>
        <w:numPr>
          <w:ilvl w:val="0"/>
          <w:numId w:val="7"/>
        </w:numPr>
        <w:ind w:left="426" w:hanging="284"/>
        <w:jc w:val="both"/>
        <w:rPr>
          <w:lang w:val="hr-HR"/>
        </w:rPr>
      </w:pPr>
      <w:r>
        <w:rPr>
          <w:bCs/>
          <w:lang w:val="hr-HR"/>
        </w:rPr>
        <w:t>osigurati troškovno optimizirani cjeloživotni vijek zgrade</w:t>
      </w:r>
      <w:r>
        <w:rPr>
          <w:lang w:val="hr-HR"/>
        </w:rPr>
        <w:t xml:space="preserve"> u svrhu optimiziranja troškova i dobivene vrijednosti sagledavajući cjeloživotni vijek zgrade. Mjere predviđaju ugradnju trajnih materijala i elemenata zgrade s niskim troškovima održavanja (Life Cycle Costing Analysis – LCCA) i s mogućim korištenjem nakon završetka životnog vijeka zgrade.</w:t>
      </w:r>
    </w:p>
    <w:p w14:paraId="45D05884" w14:textId="77777777" w:rsidR="00496804" w:rsidRDefault="00496804">
      <w:pPr>
        <w:pStyle w:val="tekst"/>
        <w:spacing w:line="240" w:lineRule="auto"/>
        <w:rPr>
          <w:rFonts w:ascii="Times New Roman" w:hAnsi="Times New Roman" w:cs="Times New Roman"/>
          <w:sz w:val="24"/>
          <w:szCs w:val="24"/>
        </w:rPr>
      </w:pPr>
    </w:p>
    <w:p w14:paraId="45D05885" w14:textId="72F45142"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Revitalizacija i obnova nekorištenih prostora i zgrada obuhvaća one aktivnosti koje je potrebno osiguravati tijekom cjeloživotnog vijeka zgrade, a kako bi zgrada što dulje zadržala svoja svojstva odnosno funkcionalnost i ekonomsku vrijednost u vremenu (trajnost, adaptabilnost i smanjivanje nastanka otpada). Ona bi se trebala provoditi uz uvažavanje jednakih načela i u cilju dosezanja razina svojstava prostora i zgrada u što većoj mjeri onim razinama koje se primjenjuju prilikom projektiranja i gradnje novih zgrada.</w:t>
      </w:r>
    </w:p>
    <w:p w14:paraId="45D05886" w14:textId="77777777" w:rsidR="00496804" w:rsidRDefault="00496804">
      <w:pPr>
        <w:pStyle w:val="tekst"/>
        <w:spacing w:line="240" w:lineRule="auto"/>
        <w:rPr>
          <w:rFonts w:ascii="Times New Roman" w:hAnsi="Times New Roman" w:cs="Times New Roman"/>
          <w:sz w:val="24"/>
          <w:szCs w:val="24"/>
        </w:rPr>
      </w:pPr>
    </w:p>
    <w:p w14:paraId="45D05887" w14:textId="77777777" w:rsidR="00496804" w:rsidRDefault="00496804">
      <w:pPr>
        <w:pStyle w:val="tekst"/>
        <w:spacing w:line="240" w:lineRule="auto"/>
        <w:rPr>
          <w:rFonts w:ascii="Times New Roman" w:hAnsi="Times New Roman" w:cs="Times New Roman"/>
          <w:sz w:val="24"/>
          <w:szCs w:val="24"/>
        </w:rPr>
      </w:pPr>
    </w:p>
    <w:p w14:paraId="45D05888"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4" w:name="_Toc51851626"/>
      <w:r>
        <w:rPr>
          <w:rFonts w:ascii="Times New Roman" w:hAnsi="Times New Roman" w:cs="Times New Roman"/>
          <w:color w:val="auto"/>
          <w:sz w:val="24"/>
          <w:szCs w:val="24"/>
        </w:rPr>
        <w:t>PLANIRANJE I GRADNJA NOVIH ZGRADA U SKLADU S KRUŽNIM GOSPODARSTVOM</w:t>
      </w:r>
      <w:bookmarkEnd w:id="44"/>
    </w:p>
    <w:p w14:paraId="45D05889" w14:textId="77777777" w:rsidR="00496804" w:rsidRDefault="00496804">
      <w:pPr>
        <w:pStyle w:val="tekst"/>
        <w:spacing w:line="240" w:lineRule="auto"/>
        <w:rPr>
          <w:rFonts w:ascii="Times New Roman" w:hAnsi="Times New Roman" w:cs="Times New Roman"/>
          <w:sz w:val="24"/>
          <w:szCs w:val="24"/>
        </w:rPr>
      </w:pPr>
    </w:p>
    <w:p w14:paraId="45D0588A" w14:textId="77777777" w:rsidR="00496804" w:rsidRDefault="0037359D">
      <w:pPr>
        <w:spacing w:line="240" w:lineRule="auto"/>
        <w:rPr>
          <w:rFonts w:ascii="Times New Roman" w:hAnsi="Times New Roman"/>
          <w:sz w:val="24"/>
        </w:rPr>
      </w:pPr>
      <w:r>
        <w:rPr>
          <w:rFonts w:ascii="Times New Roman" w:hAnsi="Times New Roman"/>
          <w:sz w:val="24"/>
        </w:rPr>
        <w:t>Ciljevima i mjerama za kružno gospodarenje prostorom i zgradama između ostaloga potiču se mjere kružnosti kod planiranja novih zgrada, koje obuhvaćaju produljenje trajnosti zgrada, fleksibilnosti prostora, smanjenje količine građevnog otpada te povećanje energetske učinkovitosti zgrada. Kružno gospodarenje prostorom i zgradama provodi se u skladu s načelima zelene gradnje koja se odnosi na cjeloviti proces osmišljavanja, izvedbe, održavanja, uporabe i obnove prostora i zgrada zasnovane na načelu održivosti.</w:t>
      </w:r>
    </w:p>
    <w:p w14:paraId="45D0588B" w14:textId="77777777" w:rsidR="00496804" w:rsidRDefault="00496804">
      <w:pPr>
        <w:spacing w:line="240" w:lineRule="auto"/>
        <w:rPr>
          <w:rFonts w:ascii="Times New Roman" w:hAnsi="Times New Roman"/>
          <w:sz w:val="24"/>
        </w:rPr>
      </w:pPr>
    </w:p>
    <w:p w14:paraId="45D0588C" w14:textId="21DE415F" w:rsidR="00496804" w:rsidRDefault="0037359D">
      <w:pPr>
        <w:spacing w:line="240" w:lineRule="auto"/>
        <w:rPr>
          <w:rFonts w:ascii="Times New Roman" w:hAnsi="Times New Roman"/>
          <w:sz w:val="24"/>
        </w:rPr>
      </w:pPr>
      <w:r>
        <w:rPr>
          <w:rFonts w:ascii="Times New Roman" w:hAnsi="Times New Roman"/>
          <w:sz w:val="24"/>
        </w:rPr>
        <w:t xml:space="preserve">Uspješnost projekata koji djeluju unutar kružnog gospodarstva u najvećoj mjeri se može modelirati u fazi koncepta ili pripreme projekata. Ako govorimo o projektima gradnje ili proizvodnje građevnih </w:t>
      </w:r>
      <w:r>
        <w:rPr>
          <w:rFonts w:ascii="Times New Roman" w:hAnsi="Times New Roman"/>
          <w:sz w:val="24"/>
        </w:rPr>
        <w:lastRenderedPageBreak/>
        <w:t>proizvoda to bi značilo da se u fazi projektiranja razmišlja o tome koji će se materijali upotrijebiti, što će se dogoditi sa zgradom i ugrađenim materijalima na kraju njezina vijeka trajanja, kakva je trajnost ugrađenih materijala, koliki će biti troškovi održavanje zgrade, te kolika je količina ugrađene i operativne energije. Uspjeh projekata također ovisi o suradnji između svih dionika na pojedinim projektima te ne postoji jedan univerzalni pristup za sve projekte, odnosno potrebno je istražiti opcije koje su relevantne za svaki konkretni projekt.</w:t>
      </w:r>
    </w:p>
    <w:p w14:paraId="45D0588D" w14:textId="77777777" w:rsidR="00496804" w:rsidRDefault="00496804">
      <w:pPr>
        <w:spacing w:line="240" w:lineRule="auto"/>
        <w:rPr>
          <w:rFonts w:ascii="Times New Roman" w:hAnsi="Times New Roman"/>
          <w:sz w:val="24"/>
        </w:rPr>
      </w:pPr>
    </w:p>
    <w:p w14:paraId="45D0588E" w14:textId="667E9EAB" w:rsidR="00496804" w:rsidRDefault="0037359D">
      <w:pPr>
        <w:spacing w:line="240" w:lineRule="auto"/>
        <w:rPr>
          <w:rFonts w:ascii="Times New Roman" w:hAnsi="Times New Roman"/>
          <w:sz w:val="24"/>
        </w:rPr>
      </w:pPr>
      <w:r>
        <w:rPr>
          <w:rFonts w:ascii="Times New Roman" w:hAnsi="Times New Roman"/>
          <w:sz w:val="24"/>
        </w:rPr>
        <w:t>Planom za Europu koja učinkovitije raspolaže resursima predlaže se da se zgrade  projektiraju, grade</w:t>
      </w:r>
      <w:r w:rsidR="008F696C">
        <w:rPr>
          <w:rFonts w:ascii="Times New Roman" w:hAnsi="Times New Roman"/>
          <w:sz w:val="24"/>
        </w:rPr>
        <w:t>,</w:t>
      </w:r>
      <w:r>
        <w:rPr>
          <w:rFonts w:ascii="Times New Roman" w:hAnsi="Times New Roman"/>
          <w:sz w:val="24"/>
        </w:rPr>
        <w:t xml:space="preserve"> ali i renoviraju uz učinkovitije korištenje resursa, za što bi bile potrebne politike koje se odnose na širok spektar utjecaja na okoliš tijekom životnog vijeka zgrada. U Komunikaciji Komisije Europskom parlamentu i Vijeću: Strategija za održivu konkurentnost građevinskog sektora i poduzeća u tom sektoru  (COM(2012) 0433 final) od 31.7.2012.</w:t>
      </w:r>
      <w:r>
        <w:rPr>
          <w:rStyle w:val="Referencafusnote"/>
          <w:rFonts w:ascii="Times New Roman" w:hAnsi="Times New Roman"/>
          <w:sz w:val="24"/>
        </w:rPr>
        <w:footnoteReference w:id="43"/>
      </w:r>
      <w:r>
        <w:rPr>
          <w:rFonts w:ascii="Times New Roman" w:hAnsi="Times New Roman"/>
          <w:sz w:val="24"/>
        </w:rPr>
        <w:t xml:space="preserve"> ističe se da je učinkovito korištenje resursa jedan od glavnih izazova za taj sektor do 2020. godine. U sklopu te strategije navedeno je da će EK „predložiti pristupe međusobnom priznavanju ili usklađivanju različitih metoda procjene, također s ciljem da ih se učini funkcionalnijima i cjenovno pristupačnijima građevinskim tvrtkama, sektoru osiguranja i ulagačima”.</w:t>
      </w:r>
    </w:p>
    <w:p w14:paraId="45D0588F" w14:textId="77777777" w:rsidR="00496804" w:rsidRDefault="00496804">
      <w:pPr>
        <w:spacing w:line="240" w:lineRule="auto"/>
        <w:rPr>
          <w:rFonts w:ascii="Times New Roman" w:hAnsi="Times New Roman"/>
          <w:sz w:val="24"/>
        </w:rPr>
      </w:pPr>
    </w:p>
    <w:p w14:paraId="45D05890" w14:textId="647EBD02" w:rsidR="00496804" w:rsidRDefault="008F696C">
      <w:pPr>
        <w:spacing w:line="240" w:lineRule="auto"/>
        <w:rPr>
          <w:rFonts w:ascii="Times New Roman" w:hAnsi="Times New Roman"/>
          <w:sz w:val="24"/>
        </w:rPr>
      </w:pPr>
      <w:r>
        <w:rPr>
          <w:rFonts w:ascii="Times New Roman" w:hAnsi="Times New Roman"/>
          <w:sz w:val="24"/>
        </w:rPr>
        <w:t>S o</w:t>
      </w:r>
      <w:r w:rsidR="0037359D">
        <w:rPr>
          <w:rFonts w:ascii="Times New Roman" w:hAnsi="Times New Roman"/>
          <w:sz w:val="24"/>
        </w:rPr>
        <w:t>bzirom na navedeno</w:t>
      </w:r>
      <w:r>
        <w:rPr>
          <w:rFonts w:ascii="Times New Roman" w:hAnsi="Times New Roman"/>
          <w:sz w:val="24"/>
        </w:rPr>
        <w:t>,</w:t>
      </w:r>
      <w:r w:rsidR="0037359D">
        <w:rPr>
          <w:rFonts w:ascii="Times New Roman" w:hAnsi="Times New Roman"/>
          <w:sz w:val="24"/>
        </w:rPr>
        <w:t xml:space="preserve"> 2014. godine izrađena je Komunikacija Komisije Europskom parlamentu, Vijeću, Europskom gospodarskom i socijalnom odboru i Odboru regija: Prilike za učinkovitije korištenje resursa u građevinskom sektoru (COM(2014) 0445 final) od 1.7.2014.</w:t>
      </w:r>
      <w:r w:rsidR="0037359D">
        <w:rPr>
          <w:rStyle w:val="Referencafusnote"/>
          <w:rFonts w:ascii="Times New Roman" w:hAnsi="Times New Roman"/>
          <w:sz w:val="24"/>
        </w:rPr>
        <w:footnoteReference w:id="44"/>
      </w:r>
      <w:r w:rsidR="0037359D">
        <w:rPr>
          <w:rFonts w:ascii="Times New Roman" w:hAnsi="Times New Roman"/>
          <w:sz w:val="24"/>
        </w:rPr>
        <w:t xml:space="preserve"> kojom se želi promaknuti učinkovitije korištenje resursa koji se koriste za nove i obnovljene prostore i zgrade te smanjenje njihova ukupnog utjecaja na okoliš tijekom cjeloživotnog vijeka. Korištenje resursa uvelike je određeno odlukama i izborima donesenim tijekom projektiranja</w:t>
      </w:r>
      <w:r>
        <w:rPr>
          <w:rFonts w:ascii="Times New Roman" w:hAnsi="Times New Roman"/>
          <w:sz w:val="24"/>
        </w:rPr>
        <w:t>,</w:t>
      </w:r>
      <w:r w:rsidR="0037359D">
        <w:rPr>
          <w:rFonts w:ascii="Times New Roman" w:hAnsi="Times New Roman"/>
          <w:sz w:val="24"/>
        </w:rPr>
        <w:t xml:space="preserve"> odabirom građevnih materijala. Primjerice građevinski proizvod poput čelika, kojeg karakterizira dugi životni vijek i čija trajnost osigurava vrlo visok udio recikliranja i ponovne obrade, izravno utječe na smanjenje potrošnje zaliha sirovina, a zgrade i druge konstrukcije izgrađene od čelika mogu trajati i do 100 godina uz pravilno održavanje. </w:t>
      </w:r>
    </w:p>
    <w:p w14:paraId="45D05891" w14:textId="77777777" w:rsidR="00496804" w:rsidRDefault="00496804">
      <w:pPr>
        <w:spacing w:line="240" w:lineRule="auto"/>
        <w:rPr>
          <w:rFonts w:ascii="Times New Roman" w:hAnsi="Times New Roman"/>
          <w:sz w:val="24"/>
        </w:rPr>
      </w:pPr>
    </w:p>
    <w:p w14:paraId="45D05892" w14:textId="7FFFEC02" w:rsidR="00496804" w:rsidRDefault="0037359D">
      <w:pPr>
        <w:spacing w:line="240" w:lineRule="auto"/>
        <w:rPr>
          <w:rFonts w:ascii="Times New Roman" w:hAnsi="Times New Roman"/>
          <w:sz w:val="24"/>
        </w:rPr>
      </w:pPr>
      <w:r>
        <w:rPr>
          <w:rFonts w:ascii="Times New Roman" w:hAnsi="Times New Roman"/>
          <w:sz w:val="24"/>
        </w:rPr>
        <w:t>Da bi se pomoglo ostvarivanju koristi od učinkovitijeg korištenja resursa, projektantima, proizvođačima, izvođačima, nadležnim tijelima i korisnicima potrebne su upotrebljive i pouzdane informacije na temelju kojih će moći donositi odluke. U sklopu ovog</w:t>
      </w:r>
      <w:r w:rsidR="008F696C">
        <w:rPr>
          <w:rFonts w:ascii="Times New Roman" w:hAnsi="Times New Roman"/>
          <w:sz w:val="24"/>
        </w:rPr>
        <w:t>a</w:t>
      </w:r>
      <w:r>
        <w:rPr>
          <w:rFonts w:ascii="Times New Roman" w:hAnsi="Times New Roman"/>
          <w:sz w:val="24"/>
        </w:rPr>
        <w:t xml:space="preserve"> Programa taj se manjak informacija rješava predlaganjem skupa jasno određenih i mjerljivih pokazatelja za procjenu ekološke učinkovitosti zgrada. </w:t>
      </w:r>
    </w:p>
    <w:p w14:paraId="45D05893" w14:textId="77777777" w:rsidR="00496804" w:rsidRDefault="00496804">
      <w:pPr>
        <w:spacing w:line="240" w:lineRule="auto"/>
        <w:rPr>
          <w:rFonts w:ascii="Times New Roman" w:hAnsi="Times New Roman"/>
          <w:sz w:val="24"/>
        </w:rPr>
      </w:pPr>
    </w:p>
    <w:p w14:paraId="45D05894" w14:textId="77777777" w:rsidR="00496804" w:rsidRDefault="0037359D">
      <w:pPr>
        <w:spacing w:line="240" w:lineRule="auto"/>
        <w:rPr>
          <w:rFonts w:ascii="Times New Roman" w:hAnsi="Times New Roman"/>
          <w:sz w:val="24"/>
        </w:rPr>
      </w:pPr>
      <w:r>
        <w:rPr>
          <w:rFonts w:ascii="Times New Roman" w:hAnsi="Times New Roman"/>
          <w:sz w:val="24"/>
        </w:rPr>
        <w:t xml:space="preserve">Uspješnost kružnog gospodarenja prostorom i zgradama tako se postiže: promicanjem kvalitetnijeg projektiranja po načelima eko-dizajna kojim se korištenje resursa usklađuje s potrebama i funkcionalnošću zgrade, kvalitetnim planiranjem projekta, kojim se osigurava veće korištenje resursno i energetski učinkovitih proizvoda, korištenjem oporabljenih materijala ili ponovnim korištenjem postojećih materijala ili dijelova zgrada koje se uklanjaju, promicanjem učinkovitijeg korištenja resursa pri izgradnji i obnovi, korištenjem otpada kao goriva, osmišljavanjem procesa rastavljanja i uklanjanja zgrada ili njihovih dijelova te odgovornim gospodarenjem potencijalnim građevnim otpadom, sve s ciljem smanjenja količine neiskoristivog građevnog otpada na odlagalištu. </w:t>
      </w:r>
    </w:p>
    <w:p w14:paraId="45D05895" w14:textId="77777777" w:rsidR="00496804" w:rsidRDefault="00496804">
      <w:pPr>
        <w:spacing w:line="240" w:lineRule="auto"/>
        <w:rPr>
          <w:rFonts w:ascii="Times New Roman" w:hAnsi="Times New Roman"/>
          <w:sz w:val="24"/>
        </w:rPr>
      </w:pPr>
    </w:p>
    <w:p w14:paraId="45D05896" w14:textId="77777777" w:rsidR="00496804" w:rsidRDefault="0037359D">
      <w:pPr>
        <w:spacing w:line="240" w:lineRule="auto"/>
        <w:rPr>
          <w:rFonts w:ascii="Times New Roman" w:hAnsi="Times New Roman"/>
          <w:sz w:val="24"/>
        </w:rPr>
      </w:pPr>
      <w:r>
        <w:rPr>
          <w:rFonts w:ascii="Times New Roman" w:hAnsi="Times New Roman"/>
          <w:sz w:val="24"/>
        </w:rPr>
        <w:t xml:space="preserve">Stoga je faza projektiranja, temeljena na promišljanju o cjeloživotnom vijeku, presudna ako se želi omogućiti ponovna upotreba građevinskih proizvoda i materijala. Tako je, primjerice, građevinska industrija bila jedna od prvih koja je prihvatila ponovnu upotrebu čeličnih komponenti poput </w:t>
      </w:r>
      <w:r>
        <w:rPr>
          <w:rFonts w:ascii="Times New Roman" w:hAnsi="Times New Roman"/>
          <w:sz w:val="24"/>
        </w:rPr>
        <w:lastRenderedPageBreak/>
        <w:t xml:space="preserve">konstrukcijskih greda, krovnih i zidnih elemenata. Ponovna upotreba uključuje posebno dizajnirani sustav sakupljanja i prerade kako bi proizvod bio prikladan za novu primjenu. </w:t>
      </w:r>
    </w:p>
    <w:p w14:paraId="45D05897" w14:textId="77777777" w:rsidR="00496804" w:rsidRDefault="00496804">
      <w:pPr>
        <w:spacing w:line="240" w:lineRule="auto"/>
        <w:rPr>
          <w:rFonts w:ascii="Times New Roman" w:hAnsi="Times New Roman"/>
          <w:sz w:val="24"/>
        </w:rPr>
      </w:pPr>
    </w:p>
    <w:p w14:paraId="45D05898" w14:textId="77777777" w:rsidR="00496804" w:rsidRDefault="0037359D">
      <w:pPr>
        <w:spacing w:line="240" w:lineRule="auto"/>
        <w:rPr>
          <w:rFonts w:ascii="Times New Roman" w:hAnsi="Times New Roman"/>
          <w:sz w:val="24"/>
        </w:rPr>
      </w:pPr>
      <w:r>
        <w:rPr>
          <w:rFonts w:ascii="Times New Roman" w:hAnsi="Times New Roman"/>
          <w:sz w:val="24"/>
        </w:rPr>
        <w:t xml:space="preserve">Jedna od mnogih mogućnosti kružnog gospodarenja, zasnovane na načelima permakulture, jest i korištenje isključivo prirodnih materijala i primjenjivih tehnologija ekološkog graditeljstva, što rezultira građevinama koje su u potpunosti održive i reciklirajuće. Ta načela za sada nisu prepoznata u sustavu prostornog uređenja i gradnje, međutim ovaj Program će, između ostaloga, težiti podizanju razine znanja i društvene svijesti o održivom razvoju i mogućnostima korištenja lokalnih, prirodnih i recikliranih materijala čija proizvodnja ima nizak ugljični otisak i ne zahtjeva invazivnu obradu. </w:t>
      </w:r>
    </w:p>
    <w:p w14:paraId="45D0589A" w14:textId="77777777" w:rsidR="00496804" w:rsidRDefault="0037359D">
      <w:pPr>
        <w:spacing w:line="240" w:lineRule="auto"/>
        <w:rPr>
          <w:rFonts w:ascii="Times New Roman" w:hAnsi="Times New Roman"/>
          <w:sz w:val="24"/>
        </w:rPr>
      </w:pPr>
      <w:r>
        <w:rPr>
          <w:rFonts w:ascii="Times New Roman" w:hAnsi="Times New Roman"/>
          <w:sz w:val="24"/>
        </w:rPr>
        <w:t>Razvoj zelene gradnje prati i razvoj sustava certificiranja održive gradnje. Danas je u široj primjeni nekoliko globalno prepoznatih sustava: LEED (engl. Leadership in Energy and Environmental Design), BREEAM (engl. Building Research Establishment Environmental Assessment Methodology) i DGNB (njem. Deutsche Gesellschaft für Nachhaltiges Bauen)</w:t>
      </w:r>
      <w:r>
        <w:rPr>
          <w:rFonts w:ascii="Times New Roman" w:hAnsi="Times New Roman"/>
          <w:bCs/>
          <w:sz w:val="24"/>
        </w:rPr>
        <w:t>. Njihovo p</w:t>
      </w:r>
      <w:r>
        <w:rPr>
          <w:rFonts w:ascii="Times New Roman" w:hAnsi="Times New Roman"/>
          <w:sz w:val="24"/>
        </w:rPr>
        <w:t xml:space="preserve">odručje ocjenjivanja uključuje veliki broj faktora (korištenje građevinskog zemljišta, zbrinjavanje građevnog otpada, potrošnja vode, odabir rješenja vezanih za krajobraz i ambijent interijera, odabir i način upotrebe materijala, emisije stakleničkih plinova, energetska učinkovitost, korištenje obnovljivih izvora energije, itd.) kojima se ocjenjuje funkcionalnost, isplativost i kvaliteta zgrade tijekom njezinog cjeloživotnog vijeka trajanja. Rezultati ocjenjivanja vlasnicima i korisnicima zgrade daju jasnu i transparentnu informaciju o kvaliteti gradnje, a dodatno mogu povećati tržišnu vrijednost zgrade. Poticanje provođenja postupaka certificiranja održive gradnje predstavlja dodatni instrument u promicanju kružnog gospodarenja prostorom i zgradama. </w:t>
      </w:r>
    </w:p>
    <w:p w14:paraId="45D0589B" w14:textId="77777777" w:rsidR="00496804" w:rsidRDefault="00496804">
      <w:pPr>
        <w:spacing w:line="240" w:lineRule="auto"/>
        <w:rPr>
          <w:rFonts w:ascii="Times New Roman" w:hAnsi="Times New Roman"/>
          <w:sz w:val="24"/>
        </w:rPr>
      </w:pPr>
    </w:p>
    <w:p w14:paraId="45D0589C" w14:textId="77777777" w:rsidR="00496804" w:rsidRDefault="00496804">
      <w:pPr>
        <w:spacing w:line="240" w:lineRule="auto"/>
        <w:rPr>
          <w:rFonts w:ascii="Times New Roman" w:hAnsi="Times New Roman"/>
          <w:sz w:val="24"/>
        </w:rPr>
      </w:pPr>
    </w:p>
    <w:p w14:paraId="45D0589D"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6" w:name="_Toc51851627"/>
      <w:r>
        <w:rPr>
          <w:rFonts w:ascii="Times New Roman" w:hAnsi="Times New Roman" w:cs="Times New Roman"/>
          <w:color w:val="auto"/>
          <w:sz w:val="24"/>
          <w:szCs w:val="24"/>
        </w:rPr>
        <w:t>REVITALIZACIJA I OBNOVA NEKORIŠTENIH PROSTORA I ZGRADA</w:t>
      </w:r>
      <w:bookmarkEnd w:id="46"/>
    </w:p>
    <w:p w14:paraId="45D0589E" w14:textId="77777777" w:rsidR="00496804" w:rsidRDefault="00496804">
      <w:pPr>
        <w:pStyle w:val="tekst"/>
        <w:spacing w:line="240" w:lineRule="auto"/>
        <w:rPr>
          <w:rFonts w:ascii="Times New Roman" w:hAnsi="Times New Roman" w:cs="Times New Roman"/>
          <w:sz w:val="24"/>
          <w:szCs w:val="24"/>
        </w:rPr>
      </w:pPr>
    </w:p>
    <w:p w14:paraId="45D0589F" w14:textId="77777777" w:rsidR="00496804" w:rsidRDefault="0037359D">
      <w:pPr>
        <w:spacing w:line="240" w:lineRule="auto"/>
        <w:rPr>
          <w:rFonts w:ascii="Times New Roman" w:hAnsi="Times New Roman"/>
          <w:sz w:val="24"/>
        </w:rPr>
      </w:pPr>
      <w:r>
        <w:rPr>
          <w:rFonts w:ascii="Times New Roman" w:hAnsi="Times New Roman"/>
          <w:sz w:val="24"/>
        </w:rPr>
        <w:t xml:space="preserve">Nekorišteni prostori i zgrade na prostoru RH predstavljaju najznačajniju kategoriju moguće primjene kružnog gospodarenja. To je široka paleta nekretnina različitih veličina i mjerila. Od mjerila zgrada do zona velikog mjerila koje zaposjedaju značajne površine gradova i izdvojenih gospodarskih/industrijskih područja izvan naselja. </w:t>
      </w:r>
    </w:p>
    <w:p w14:paraId="45D058A0" w14:textId="77777777" w:rsidR="00496804" w:rsidRDefault="00496804">
      <w:pPr>
        <w:spacing w:line="240" w:lineRule="auto"/>
        <w:rPr>
          <w:rFonts w:ascii="Times New Roman" w:hAnsi="Times New Roman"/>
          <w:sz w:val="24"/>
        </w:rPr>
      </w:pPr>
    </w:p>
    <w:p w14:paraId="45D058A1" w14:textId="77777777" w:rsidR="00496804" w:rsidRDefault="0037359D">
      <w:pPr>
        <w:spacing w:line="240" w:lineRule="auto"/>
        <w:rPr>
          <w:rFonts w:ascii="Times New Roman" w:hAnsi="Times New Roman"/>
          <w:sz w:val="24"/>
        </w:rPr>
      </w:pPr>
      <w:r>
        <w:rPr>
          <w:rFonts w:ascii="Times New Roman" w:hAnsi="Times New Roman"/>
          <w:sz w:val="24"/>
        </w:rPr>
        <w:t xml:space="preserve">Svaki zahvat u prostoru provodi se u skladu s prostornim planom što će biti primjenjivo i na projekte revitalizacije i obnove nekorištenih prostora i zgrada. U slučaju zahvata velikog mjerila projekte će karakterizirati faznost i dugotrajnost, a ako se tome dodaju i potrebe za izmjenama prostornog plana, vjerojatno je da će vremenski okvir projekata izaći izvan okvira srednjoročnog akta strateškog planiranja. </w:t>
      </w:r>
    </w:p>
    <w:p w14:paraId="45D058A2" w14:textId="77777777" w:rsidR="00496804" w:rsidRDefault="00496804">
      <w:pPr>
        <w:spacing w:line="240" w:lineRule="auto"/>
        <w:rPr>
          <w:rFonts w:ascii="Times New Roman" w:hAnsi="Times New Roman"/>
          <w:sz w:val="24"/>
        </w:rPr>
      </w:pPr>
    </w:p>
    <w:p w14:paraId="45D058A3" w14:textId="77777777" w:rsidR="00496804" w:rsidRDefault="0037359D">
      <w:pPr>
        <w:spacing w:line="240" w:lineRule="auto"/>
        <w:rPr>
          <w:rFonts w:ascii="Times New Roman" w:hAnsi="Times New Roman"/>
          <w:sz w:val="24"/>
        </w:rPr>
      </w:pPr>
      <w:r>
        <w:rPr>
          <w:rFonts w:ascii="Times New Roman" w:hAnsi="Times New Roman"/>
          <w:sz w:val="24"/>
        </w:rPr>
        <w:t>Dodatno, za pojedine zgrade (kao npr. stari zvonici, napuštene kuće, štagljevi) koje mogu predstavljati ključno stanište za određene strogo zaštićene vrste (najčešće šišmiša ili ptica) potrebno je pri planiranju zahvata provesti odgovarajuće postupke ocjene ili predvidjeti odgovarajuće mjere zaštite i tehnička rješenja.</w:t>
      </w:r>
    </w:p>
    <w:p w14:paraId="45D058A4" w14:textId="77777777" w:rsidR="00496804" w:rsidRDefault="00496804">
      <w:pPr>
        <w:spacing w:line="240" w:lineRule="auto"/>
        <w:rPr>
          <w:rFonts w:ascii="Times New Roman" w:hAnsi="Times New Roman"/>
          <w:sz w:val="24"/>
        </w:rPr>
      </w:pPr>
    </w:p>
    <w:p w14:paraId="45D058A5" w14:textId="77777777" w:rsidR="00496804" w:rsidRDefault="0037359D">
      <w:pPr>
        <w:spacing w:line="240" w:lineRule="auto"/>
        <w:rPr>
          <w:rFonts w:ascii="Times New Roman" w:hAnsi="Times New Roman"/>
          <w:sz w:val="24"/>
        </w:rPr>
      </w:pPr>
      <w:r>
        <w:rPr>
          <w:rFonts w:ascii="Times New Roman" w:hAnsi="Times New Roman"/>
          <w:sz w:val="24"/>
        </w:rPr>
        <w:t>Ovaj Program stavlja u fokus revitalizaciju i obnovu nekorištenih prostora i zgrada u javnom vlasništvu čija je namjena usklađena s prostornim planovima (npr. društvene djelatnosti, stambena namjena u okviru POS programa i sl.).</w:t>
      </w:r>
    </w:p>
    <w:p w14:paraId="45D058A6" w14:textId="77777777" w:rsidR="00496804" w:rsidRDefault="00496804">
      <w:pPr>
        <w:spacing w:line="240" w:lineRule="auto"/>
        <w:rPr>
          <w:rFonts w:ascii="Times New Roman" w:hAnsi="Times New Roman"/>
          <w:sz w:val="24"/>
        </w:rPr>
      </w:pPr>
    </w:p>
    <w:p w14:paraId="45D058A7" w14:textId="77777777" w:rsidR="00496804" w:rsidRDefault="0037359D">
      <w:pPr>
        <w:spacing w:line="240" w:lineRule="auto"/>
        <w:rPr>
          <w:rFonts w:ascii="Times New Roman" w:hAnsi="Times New Roman"/>
          <w:sz w:val="24"/>
        </w:rPr>
      </w:pPr>
      <w:r>
        <w:rPr>
          <w:rFonts w:ascii="Times New Roman" w:hAnsi="Times New Roman"/>
          <w:sz w:val="24"/>
        </w:rPr>
        <w:t>U svrhu sveobuhvatnijeg sagledavanja kompletne problematike izgrađenih struktura pogodnih za ponovnu upotrebu po načelima kružnog gospodarenja u nastavku je prikazan pregled po tipologijama i mjerilima koja su najzastupljenija u Hrvatskoj:</w:t>
      </w:r>
    </w:p>
    <w:p w14:paraId="45D058A8" w14:textId="77777777" w:rsidR="00496804" w:rsidRDefault="00496804">
      <w:pPr>
        <w:spacing w:line="240" w:lineRule="auto"/>
        <w:rPr>
          <w:rFonts w:ascii="Times New Roman" w:hAnsi="Times New Roman"/>
          <w:bCs/>
          <w:sz w:val="24"/>
        </w:rPr>
      </w:pPr>
    </w:p>
    <w:p w14:paraId="45D058A9" w14:textId="77777777" w:rsidR="00496804" w:rsidRDefault="0037359D">
      <w:pPr>
        <w:spacing w:line="240" w:lineRule="auto"/>
        <w:rPr>
          <w:rFonts w:ascii="Times New Roman" w:hAnsi="Times New Roman"/>
          <w:bCs/>
          <w:sz w:val="24"/>
        </w:rPr>
      </w:pPr>
      <w:bookmarkStart w:id="47" w:name="_Hlk38923160"/>
      <w:r>
        <w:rPr>
          <w:rFonts w:ascii="Times New Roman" w:hAnsi="Times New Roman"/>
          <w:b/>
          <w:bCs/>
          <w:sz w:val="24"/>
        </w:rPr>
        <w:lastRenderedPageBreak/>
        <w:t>Polifunkcionalne zone napuštenih prostora i zgrada (mjerilo XL)</w:t>
      </w:r>
      <w:r>
        <w:rPr>
          <w:rFonts w:ascii="Times New Roman" w:hAnsi="Times New Roman"/>
          <w:b/>
          <w:sz w:val="24"/>
        </w:rPr>
        <w:t xml:space="preserve"> </w:t>
      </w:r>
      <w:r>
        <w:rPr>
          <w:rFonts w:ascii="Times New Roman" w:hAnsi="Times New Roman"/>
          <w:bCs/>
          <w:sz w:val="24"/>
        </w:rPr>
        <w:t xml:space="preserve">– zone više različitih funkcija, npr. industrija, brodogradilište, infrastruktura. Predstavljaju velike prostorne cjeline u sklopu najvećih hrvatskih gradova na kojima se odvijala lokalno vrlo važna gospodarska djelatnost. Značaj aktivnosti u takvim zonama je najčešće proporcionalan veličini, infrastrukturnoj i komunalnoj opremljenosti. Često ih karakterizira prisutnost infrastrukturnih elemenata poput željeznice ili luke. Dodatno opterećenje u razvoju ovakvih zona mogu biti i imovinsko-pravni odnosi. Ovakvi zahvati predstavljaju najveću razinu složenosti u pogledu provedbe, ali i mogućnost postizanja najboljeg rezultata u smislu primjene načela održivoga urbanog razvoja, </w:t>
      </w:r>
      <w:r>
        <w:rPr>
          <w:rFonts w:ascii="Times New Roman" w:hAnsi="Times New Roman"/>
          <w:sz w:val="24"/>
        </w:rPr>
        <w:t>rješenja temeljenih na prirodi</w:t>
      </w:r>
      <w:r>
        <w:rPr>
          <w:rStyle w:val="Referencafusnote"/>
          <w:rFonts w:ascii="Times New Roman" w:hAnsi="Times New Roman"/>
          <w:sz w:val="24"/>
        </w:rPr>
        <w:footnoteReference w:id="45"/>
      </w:r>
      <w:r>
        <w:rPr>
          <w:rFonts w:ascii="Times New Roman" w:hAnsi="Times New Roman"/>
          <w:sz w:val="24"/>
        </w:rPr>
        <w:t xml:space="preserve"> (engl. </w:t>
      </w:r>
      <w:r>
        <w:rPr>
          <w:rFonts w:ascii="Times New Roman" w:hAnsi="Times New Roman"/>
          <w:i/>
          <w:iCs/>
          <w:sz w:val="24"/>
        </w:rPr>
        <w:t>Nature Based Solution</w:t>
      </w:r>
      <w:r>
        <w:rPr>
          <w:rFonts w:ascii="Times New Roman" w:hAnsi="Times New Roman"/>
          <w:sz w:val="24"/>
        </w:rPr>
        <w:t xml:space="preserve"> – NBS)</w:t>
      </w:r>
      <w:r>
        <w:rPr>
          <w:rFonts w:ascii="Times New Roman" w:hAnsi="Times New Roman"/>
          <w:bCs/>
          <w:sz w:val="24"/>
        </w:rPr>
        <w:t xml:space="preserve">, primjene elemenata i sustava urbane zelene infrastrukture te u konačnici povrata vrijednosti kroz društveno-ekonomske parametre. Urbana sanacija ovakvih prostora je od velikog državnog značaja jer su upravo ti projekti glavni pokretači pozitivnih trendova u društvu. </w:t>
      </w:r>
    </w:p>
    <w:p w14:paraId="45D058AA" w14:textId="77777777" w:rsidR="00496804" w:rsidRDefault="00496804">
      <w:pPr>
        <w:spacing w:line="240" w:lineRule="auto"/>
        <w:rPr>
          <w:rFonts w:ascii="Times New Roman" w:hAnsi="Times New Roman"/>
          <w:bCs/>
          <w:sz w:val="24"/>
        </w:rPr>
      </w:pPr>
    </w:p>
    <w:p w14:paraId="45D058AB" w14:textId="18B7181C" w:rsidR="00496804" w:rsidRDefault="0037359D">
      <w:pPr>
        <w:spacing w:line="240" w:lineRule="auto"/>
        <w:rPr>
          <w:rFonts w:ascii="Times New Roman" w:hAnsi="Times New Roman"/>
          <w:sz w:val="24"/>
        </w:rPr>
      </w:pPr>
      <w:r>
        <w:rPr>
          <w:rFonts w:ascii="Times New Roman" w:hAnsi="Times New Roman"/>
          <w:b/>
          <w:bCs/>
          <w:sz w:val="24"/>
        </w:rPr>
        <w:t xml:space="preserve">Monofunkcionalne zone napuštenih prostora i zgrade (mjerilo L) </w:t>
      </w:r>
      <w:r>
        <w:rPr>
          <w:rFonts w:ascii="Times New Roman" w:hAnsi="Times New Roman"/>
          <w:sz w:val="24"/>
        </w:rPr>
        <w:t xml:space="preserve"> – cjeline jedne funkcije, jasno definiranih granica koje se u pravilu nalaze najčešće na gradskoj periferiji okružene prostorima slične namjene (npr. industrija, infrastruktura, vojska, turizam, bolnice i sl.). Najčešće je riječ o prostoru u kojem se nalazi veći broj zgrada različitih prostornih karakteristika (konstrukcija, materijali, rasponi, ovojnica, infrastrukturna opremljenost) povezanih procesima i sadržajima koji su se prethodno u njima odvijali. Budući da su u pitanju veće bruto razvijene površine (10</w:t>
      </w:r>
      <w:r w:rsidR="00CB4421">
        <w:rPr>
          <w:rFonts w:ascii="Times New Roman" w:hAnsi="Times New Roman"/>
          <w:sz w:val="24"/>
        </w:rPr>
        <w:t>.</w:t>
      </w:r>
      <w:r>
        <w:rPr>
          <w:rFonts w:ascii="Times New Roman" w:hAnsi="Times New Roman"/>
          <w:sz w:val="24"/>
        </w:rPr>
        <w:t>000 – 50</w:t>
      </w:r>
      <w:r w:rsidR="00CB4421">
        <w:rPr>
          <w:rFonts w:ascii="Times New Roman" w:hAnsi="Times New Roman"/>
          <w:sz w:val="24"/>
        </w:rPr>
        <w:t>.</w:t>
      </w:r>
      <w:r>
        <w:rPr>
          <w:rFonts w:ascii="Times New Roman" w:hAnsi="Times New Roman"/>
          <w:sz w:val="24"/>
        </w:rPr>
        <w:t>000 m</w:t>
      </w:r>
      <w:r>
        <w:rPr>
          <w:rFonts w:ascii="Times New Roman" w:hAnsi="Times New Roman"/>
          <w:sz w:val="24"/>
          <w:vertAlign w:val="superscript"/>
        </w:rPr>
        <w:t>2</w:t>
      </w:r>
      <w:r>
        <w:rPr>
          <w:rFonts w:ascii="Times New Roman" w:hAnsi="Times New Roman"/>
          <w:sz w:val="24"/>
        </w:rPr>
        <w:t>), predstavljaju izazov za implementaciju načela kružnog gospodarenja prostorom i zgradama. Prednosti su predmetnih lokacija: osnovna infrastrukturna opremljenost (promet, električna energija, voda, odvodnja), fleksibilnost prostora i velika površina. Nedostaci su</w:t>
      </w:r>
      <w:r w:rsidR="00CB4421">
        <w:rPr>
          <w:rFonts w:ascii="Times New Roman" w:hAnsi="Times New Roman"/>
          <w:sz w:val="24"/>
        </w:rPr>
        <w:t>:</w:t>
      </w:r>
      <w:r>
        <w:rPr>
          <w:rFonts w:ascii="Times New Roman" w:hAnsi="Times New Roman"/>
          <w:sz w:val="24"/>
        </w:rPr>
        <w:t xml:space="preserve"> mogućnost prethodnog onečišćenja okoliša, prisutnost opasnih materijala (npr. azbest, teški metali) i energetska neučinkovitost sustava (odnos energenta i ovojnice). Ovakve strukture bez većih teškoća mogu udomiti jednostavne proizvodne namjene, tehnološke parkove, istraživačke centre (start up/inkubatori) za veći broj korisnika, poslovne kampuse ili biti kombinacija navedenih sadržaja, što najčešće i slijedi namjenu zadanu prostorno planskom dokumentacijom. Uz kružno gospodarenje na ovim lokacijama postoji veliki potencijal primjene elemenata urbane zelene infrastrukture. Složenost i veličina zahvata zahtijevaju interdisciplinarni pristup, analizu opcija i primjenu NBS. Vremenski okvir poželjne realizacije ovakvih projekata je 5 godina.</w:t>
      </w:r>
    </w:p>
    <w:p w14:paraId="45D058AC" w14:textId="77777777" w:rsidR="00496804" w:rsidRDefault="00496804">
      <w:pPr>
        <w:spacing w:line="240" w:lineRule="auto"/>
        <w:rPr>
          <w:rFonts w:ascii="Times New Roman" w:hAnsi="Times New Roman"/>
          <w:sz w:val="24"/>
        </w:rPr>
      </w:pPr>
    </w:p>
    <w:p w14:paraId="45D058AD" w14:textId="77777777" w:rsidR="00496804" w:rsidRDefault="0037359D">
      <w:pPr>
        <w:spacing w:line="240" w:lineRule="auto"/>
        <w:rPr>
          <w:rFonts w:ascii="Times New Roman" w:hAnsi="Times New Roman"/>
          <w:sz w:val="24"/>
        </w:rPr>
      </w:pPr>
      <w:r>
        <w:rPr>
          <w:rFonts w:ascii="Times New Roman" w:hAnsi="Times New Roman"/>
          <w:b/>
          <w:bCs/>
          <w:sz w:val="24"/>
        </w:rPr>
        <w:t xml:space="preserve">Nekorištene zgrade (mjerilo M) </w:t>
      </w:r>
      <w:r>
        <w:rPr>
          <w:rFonts w:ascii="Times New Roman" w:hAnsi="Times New Roman"/>
          <w:sz w:val="24"/>
        </w:rPr>
        <w:t>– napuštene i nekorištene zgrade nalazimo kao dijelove napuštenih cjelina ili kao pojedinačne napuštene zgrade, najčešće kao dio urbanog tkiva. Ovisno o njihovoj nekadašnjoj namjeni, kao i o vremenu izgradnje te zgrade karakteriziraju različite veličine, konstruktivni sustavi i upotrijebljeni materijali. Rekonstrukcija i prenamjena ovih zgrada daje veliki potencijal za populariziranje teme kružnog gospodarstva.</w:t>
      </w:r>
    </w:p>
    <w:p w14:paraId="45D058AE" w14:textId="77777777" w:rsidR="00496804" w:rsidRDefault="00496804">
      <w:pPr>
        <w:spacing w:line="240" w:lineRule="auto"/>
        <w:rPr>
          <w:rFonts w:ascii="Times New Roman" w:hAnsi="Times New Roman"/>
          <w:sz w:val="24"/>
        </w:rPr>
      </w:pPr>
    </w:p>
    <w:p w14:paraId="45D058AF" w14:textId="71A099DE" w:rsidR="00496804" w:rsidRDefault="0037359D">
      <w:pPr>
        <w:spacing w:line="240" w:lineRule="auto"/>
        <w:rPr>
          <w:rFonts w:ascii="Times New Roman" w:hAnsi="Times New Roman"/>
          <w:sz w:val="24"/>
        </w:rPr>
      </w:pPr>
      <w:r>
        <w:rPr>
          <w:rFonts w:ascii="Times New Roman" w:hAnsi="Times New Roman"/>
          <w:b/>
          <w:bCs/>
          <w:sz w:val="24"/>
        </w:rPr>
        <w:t xml:space="preserve">Pojedinačni napušteni prostori u sklopu zgrada u korištenju (mjerilo S) </w:t>
      </w:r>
      <w:r>
        <w:rPr>
          <w:rFonts w:ascii="Times New Roman" w:hAnsi="Times New Roman"/>
          <w:sz w:val="24"/>
        </w:rPr>
        <w:t xml:space="preserve">– napušteni poslovni prostori u prizemljima zgrada, napušteni stanovi, neiskorišteni podrumi, tavani. Ova skupina prostora predstavlja veliku količinu pojedinačnih i raspršenih prostora različitih veličina, namjena i lokacija. Nalaze se na mnogim mjestima i vrlo ih je teško tipizirati. Unutar ove skupine česti su slučajevi neriješenih imovinsko-pravnih odnosa nad nekretninom koji predstavljaju važnu prepreku u realizaciji projekata. Dio nekretnina u vlasništvu RH i jedinica lokalne i </w:t>
      </w:r>
      <w:r w:rsidR="00960747">
        <w:rPr>
          <w:rFonts w:ascii="Times New Roman" w:hAnsi="Times New Roman"/>
          <w:sz w:val="24"/>
        </w:rPr>
        <w:t>područne (</w:t>
      </w:r>
      <w:r>
        <w:rPr>
          <w:rFonts w:ascii="Times New Roman" w:hAnsi="Times New Roman"/>
          <w:sz w:val="24"/>
        </w:rPr>
        <w:t>regionalne</w:t>
      </w:r>
      <w:r w:rsidR="00960747">
        <w:rPr>
          <w:rFonts w:ascii="Times New Roman" w:hAnsi="Times New Roman"/>
          <w:sz w:val="24"/>
        </w:rPr>
        <w:t>)</w:t>
      </w:r>
      <w:r>
        <w:rPr>
          <w:rFonts w:ascii="Times New Roman" w:hAnsi="Times New Roman"/>
          <w:sz w:val="24"/>
        </w:rPr>
        <w:t xml:space="preserve"> samouprave bio bi prikladan za poticajne gospodarske programe (obrti, samozapošljavanje) i programe socijalnog stanovanja u skladu s trendom socijalne kohezije. Projekti ponovne upotrebe napuštenih dijelova zgrada lako su provedive investicije velikog socijalnog značaja. </w:t>
      </w:r>
    </w:p>
    <w:p w14:paraId="45D058B0" w14:textId="77777777" w:rsidR="00496804" w:rsidRDefault="00496804">
      <w:pPr>
        <w:spacing w:line="240" w:lineRule="auto"/>
        <w:rPr>
          <w:rFonts w:ascii="Times New Roman" w:hAnsi="Times New Roman"/>
          <w:bCs/>
          <w:sz w:val="24"/>
        </w:rPr>
      </w:pPr>
    </w:p>
    <w:p w14:paraId="45D058B1" w14:textId="77777777" w:rsidR="00496804" w:rsidRDefault="00496804">
      <w:pPr>
        <w:spacing w:line="240" w:lineRule="auto"/>
        <w:jc w:val="left"/>
        <w:rPr>
          <w:rFonts w:ascii="Times New Roman" w:hAnsi="Times New Roman"/>
          <w:bCs/>
          <w:sz w:val="24"/>
        </w:rPr>
      </w:pPr>
    </w:p>
    <w:p w14:paraId="45D058B2"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8" w:name="_Toc51851628"/>
      <w:r>
        <w:rPr>
          <w:rFonts w:ascii="Times New Roman" w:hAnsi="Times New Roman" w:cs="Times New Roman"/>
          <w:color w:val="auto"/>
          <w:sz w:val="24"/>
          <w:szCs w:val="24"/>
        </w:rPr>
        <w:lastRenderedPageBreak/>
        <w:t>KRUŽNA OBNOVA I REPROGRAMIRANJE KORIŠTENIH PROSTORA I ZGRADA</w:t>
      </w:r>
      <w:bookmarkEnd w:id="48"/>
    </w:p>
    <w:p w14:paraId="45D058B3" w14:textId="77777777" w:rsidR="00496804" w:rsidRDefault="00496804">
      <w:pPr>
        <w:spacing w:line="240" w:lineRule="auto"/>
        <w:rPr>
          <w:rFonts w:ascii="Times New Roman" w:hAnsi="Times New Roman"/>
          <w:bCs/>
          <w:sz w:val="24"/>
        </w:rPr>
      </w:pPr>
    </w:p>
    <w:p w14:paraId="45D058B4" w14:textId="77777777" w:rsidR="00496804" w:rsidRDefault="0037359D">
      <w:pPr>
        <w:spacing w:line="240" w:lineRule="auto"/>
        <w:rPr>
          <w:rFonts w:ascii="Times New Roman" w:hAnsi="Times New Roman"/>
          <w:sz w:val="24"/>
        </w:rPr>
      </w:pPr>
      <w:r>
        <w:rPr>
          <w:rFonts w:ascii="Times New Roman" w:hAnsi="Times New Roman"/>
          <w:sz w:val="24"/>
        </w:rPr>
        <w:t xml:space="preserve">Usporedno s izazovima velikog broja napuštenih prostora i zgrada, dodatna problematika je značajna starost i dotrajalost građevnog fonda na prostoru RH. Prostori i zgrade u korištenju također su pogodne za provođenje mjera kružnosti, kroz koje bi se mogao uravnotežiti odnos produljenja trajnosti, troškova održavanja, dobre iskoristivosti prostora i održivosti. </w:t>
      </w:r>
    </w:p>
    <w:p w14:paraId="45D058B5" w14:textId="77777777" w:rsidR="00496804" w:rsidRDefault="00496804">
      <w:pPr>
        <w:spacing w:line="240" w:lineRule="auto"/>
        <w:rPr>
          <w:rFonts w:ascii="Times New Roman" w:hAnsi="Times New Roman"/>
          <w:sz w:val="24"/>
        </w:rPr>
      </w:pPr>
    </w:p>
    <w:p w14:paraId="45D058B6" w14:textId="77777777" w:rsidR="00496804" w:rsidRDefault="0037359D">
      <w:pPr>
        <w:spacing w:line="240" w:lineRule="auto"/>
        <w:rPr>
          <w:rFonts w:ascii="Times New Roman" w:hAnsi="Times New Roman"/>
          <w:sz w:val="24"/>
        </w:rPr>
      </w:pPr>
      <w:r>
        <w:rPr>
          <w:rFonts w:ascii="Times New Roman" w:hAnsi="Times New Roman"/>
          <w:sz w:val="24"/>
        </w:rPr>
        <w:t>Mogućnosti primjene načela kružnog gospodarenja kod prostora i zgrada u korištenju su:</w:t>
      </w:r>
    </w:p>
    <w:p w14:paraId="45D058B7" w14:textId="77777777" w:rsidR="00496804" w:rsidRDefault="00496804">
      <w:pPr>
        <w:spacing w:line="240" w:lineRule="auto"/>
        <w:rPr>
          <w:rFonts w:ascii="Times New Roman" w:hAnsi="Times New Roman"/>
          <w:sz w:val="24"/>
        </w:rPr>
      </w:pPr>
    </w:p>
    <w:p w14:paraId="45D058B8" w14:textId="77777777" w:rsidR="00496804" w:rsidRDefault="0037359D">
      <w:pPr>
        <w:spacing w:line="240" w:lineRule="auto"/>
        <w:rPr>
          <w:rFonts w:ascii="Times New Roman" w:hAnsi="Times New Roman"/>
          <w:b/>
          <w:bCs/>
          <w:sz w:val="24"/>
        </w:rPr>
      </w:pPr>
      <w:r>
        <w:rPr>
          <w:rFonts w:ascii="Times New Roman" w:hAnsi="Times New Roman"/>
          <w:b/>
          <w:bCs/>
          <w:sz w:val="24"/>
        </w:rPr>
        <w:t>Kružna obnova postojećih zgrada (mjerilo L)</w:t>
      </w:r>
    </w:p>
    <w:p w14:paraId="45D058B9" w14:textId="453033D3" w:rsidR="00496804" w:rsidRDefault="0037359D">
      <w:pPr>
        <w:spacing w:line="240" w:lineRule="auto"/>
        <w:rPr>
          <w:rFonts w:ascii="Times New Roman" w:hAnsi="Times New Roman"/>
          <w:sz w:val="24"/>
          <w:u w:color="0076BA"/>
        </w:rPr>
      </w:pPr>
      <w:r>
        <w:rPr>
          <w:rFonts w:ascii="Times New Roman" w:hAnsi="Times New Roman"/>
          <w:sz w:val="24"/>
          <w:u w:color="FF0000"/>
        </w:rPr>
        <w:t xml:space="preserve">Namijenjena je prostoru i zgradama javne ili stambene namjene, </w:t>
      </w:r>
      <w:r>
        <w:rPr>
          <w:rFonts w:ascii="Times New Roman" w:hAnsi="Times New Roman"/>
          <w:sz w:val="24"/>
          <w:u w:color="0076BA"/>
        </w:rPr>
        <w:t xml:space="preserve">zgradama kod kojih je potrebna energetska ili sveobuhvatna obnova u svrhu </w:t>
      </w:r>
      <w:r>
        <w:rPr>
          <w:rFonts w:ascii="Times New Roman" w:hAnsi="Times New Roman"/>
          <w:sz w:val="24"/>
        </w:rPr>
        <w:t xml:space="preserve">produljenje trajnosti i korištenja postojećih prostora i zgrada, </w:t>
      </w:r>
      <w:r>
        <w:rPr>
          <w:rFonts w:ascii="Times New Roman" w:hAnsi="Times New Roman"/>
          <w:sz w:val="24"/>
          <w:u w:color="0076BA"/>
        </w:rPr>
        <w:t>pri tome naglasak treba staviti na više standarde energetske obnove zgrada u korištenju, npr. nZEB standard (zgrada gotovo nulte potrošnje energije) ili standard obnove 10:1 (</w:t>
      </w:r>
      <w:r w:rsidR="00027EC9">
        <w:rPr>
          <w:rFonts w:ascii="Times New Roman" w:hAnsi="Times New Roman"/>
          <w:sz w:val="24"/>
          <w:u w:color="0076BA"/>
        </w:rPr>
        <w:t>deset</w:t>
      </w:r>
      <w:r>
        <w:rPr>
          <w:rFonts w:ascii="Times New Roman" w:hAnsi="Times New Roman"/>
          <w:sz w:val="24"/>
          <w:u w:color="0076BA"/>
        </w:rPr>
        <w:t xml:space="preserve"> puta manja potrošnja energije u odnosu na stanje pr</w:t>
      </w:r>
      <w:r w:rsidR="00E63947">
        <w:rPr>
          <w:rFonts w:ascii="Times New Roman" w:hAnsi="Times New Roman"/>
          <w:sz w:val="24"/>
          <w:u w:color="0076BA"/>
        </w:rPr>
        <w:t>i</w:t>
      </w:r>
      <w:r>
        <w:rPr>
          <w:rFonts w:ascii="Times New Roman" w:hAnsi="Times New Roman"/>
          <w:sz w:val="24"/>
          <w:u w:color="0076BA"/>
        </w:rPr>
        <w:t xml:space="preserve">je obnove). </w:t>
      </w:r>
    </w:p>
    <w:p w14:paraId="45D058BA" w14:textId="77777777" w:rsidR="00496804" w:rsidRDefault="00496804">
      <w:pPr>
        <w:spacing w:line="240" w:lineRule="auto"/>
        <w:rPr>
          <w:rFonts w:ascii="Times New Roman" w:hAnsi="Times New Roman"/>
          <w:sz w:val="24"/>
          <w:u w:color="FF0000"/>
        </w:rPr>
      </w:pPr>
    </w:p>
    <w:p w14:paraId="45D058BB" w14:textId="77777777" w:rsidR="00496804" w:rsidRDefault="0037359D">
      <w:pPr>
        <w:spacing w:line="240" w:lineRule="auto"/>
        <w:rPr>
          <w:rFonts w:ascii="Times New Roman" w:hAnsi="Times New Roman"/>
          <w:sz w:val="24"/>
        </w:rPr>
      </w:pPr>
      <w:r>
        <w:rPr>
          <w:rFonts w:ascii="Times New Roman" w:hAnsi="Times New Roman"/>
          <w:sz w:val="24"/>
          <w:u w:color="FF0000"/>
        </w:rPr>
        <w:t xml:space="preserve">Obnova </w:t>
      </w:r>
      <w:r>
        <w:rPr>
          <w:rFonts w:ascii="Times New Roman" w:hAnsi="Times New Roman"/>
          <w:sz w:val="24"/>
          <w:u w:color="0076BA"/>
        </w:rPr>
        <w:t xml:space="preserve">obuhvaća više elemenata: sagledavanje zgrade i njenih elemenata kroz </w:t>
      </w:r>
      <w:r>
        <w:rPr>
          <w:rFonts w:ascii="Times New Roman" w:hAnsi="Times New Roman"/>
          <w:sz w:val="24"/>
        </w:rPr>
        <w:t xml:space="preserve">cjeloživotni vijek </w:t>
      </w:r>
      <w:r>
        <w:rPr>
          <w:rFonts w:ascii="Times New Roman" w:hAnsi="Times New Roman"/>
          <w:sz w:val="24"/>
          <w:u w:color="0076BA"/>
        </w:rPr>
        <w:t>(</w:t>
      </w:r>
      <w:r>
        <w:rPr>
          <w:rFonts w:ascii="Times New Roman" w:hAnsi="Times New Roman"/>
          <w:i/>
          <w:iCs/>
          <w:sz w:val="24"/>
          <w:u w:color="0076BA"/>
        </w:rPr>
        <w:t>Building Life Cycle</w:t>
      </w:r>
      <w:r>
        <w:rPr>
          <w:rFonts w:ascii="Times New Roman" w:hAnsi="Times New Roman"/>
          <w:sz w:val="24"/>
          <w:u w:color="0076BA"/>
        </w:rPr>
        <w:t xml:space="preserve">), osmišljavanje mjera produljenja trajnosti zgrade, kružnost materijala – primjena oporabljenih materijala i materijala koji su pogodni za oporabu, energetska učinkovitost kroz primjenu </w:t>
      </w:r>
      <w:r>
        <w:rPr>
          <w:rFonts w:ascii="Times New Roman" w:hAnsi="Times New Roman"/>
          <w:sz w:val="24"/>
        </w:rPr>
        <w:t>termo-tehničkih</w:t>
      </w:r>
      <w:r>
        <w:rPr>
          <w:rFonts w:ascii="Times New Roman" w:hAnsi="Times New Roman"/>
          <w:sz w:val="24"/>
          <w:u w:color="0076BA"/>
        </w:rPr>
        <w:t xml:space="preserve"> i drugih sustava, a posebno onih s korištenjem obnovljivih izvora energije umjesto postojećih konvencionalnih sustava (dizalice topline iz okoliša, PV i solarni sustavi, vjetroturbine i vodene turbine </w:t>
      </w:r>
      <w:r>
        <w:rPr>
          <w:rFonts w:ascii="Times New Roman" w:hAnsi="Times New Roman"/>
          <w:i/>
          <w:iCs/>
          <w:sz w:val="24"/>
          <w:u w:color="0076BA"/>
        </w:rPr>
        <w:t>in situ</w:t>
      </w:r>
      <w:r>
        <w:rPr>
          <w:rFonts w:ascii="Times New Roman" w:hAnsi="Times New Roman"/>
          <w:sz w:val="24"/>
          <w:u w:color="0076BA"/>
        </w:rPr>
        <w:t xml:space="preserve">), učinkovita upotreba vode. Dodatni cilj je osiguravanje zdravih, pristupačnih, ugodnih prostora te sustava </w:t>
      </w:r>
      <w:r>
        <w:rPr>
          <w:rFonts w:ascii="Times New Roman" w:hAnsi="Times New Roman"/>
          <w:sz w:val="24"/>
        </w:rPr>
        <w:t>prilagodbi i otpornosti na klimatske promjene. Poseban naglasak je na upravljanju otpadom, onom dnevnom komunalnom te sprečavanju nastanka neiskoristivog građevnog otpada.</w:t>
      </w:r>
    </w:p>
    <w:p w14:paraId="45D058BC" w14:textId="77777777" w:rsidR="00496804" w:rsidRDefault="00496804">
      <w:pPr>
        <w:spacing w:line="240" w:lineRule="auto"/>
        <w:rPr>
          <w:rFonts w:ascii="Times New Roman" w:hAnsi="Times New Roman"/>
          <w:sz w:val="24"/>
        </w:rPr>
      </w:pPr>
    </w:p>
    <w:p w14:paraId="45D058BD" w14:textId="77777777" w:rsidR="00496804" w:rsidRDefault="0037359D">
      <w:pPr>
        <w:spacing w:line="240" w:lineRule="auto"/>
        <w:rPr>
          <w:rFonts w:ascii="Times New Roman" w:hAnsi="Times New Roman"/>
          <w:b/>
          <w:bCs/>
          <w:sz w:val="24"/>
        </w:rPr>
      </w:pPr>
      <w:r>
        <w:rPr>
          <w:rFonts w:ascii="Times New Roman" w:hAnsi="Times New Roman"/>
          <w:b/>
          <w:bCs/>
          <w:sz w:val="24"/>
        </w:rPr>
        <w:t>Vremenska raspodjela korištenja prostora (mjerilo XS)</w:t>
      </w:r>
    </w:p>
    <w:p w14:paraId="45D058BE" w14:textId="52CF507F" w:rsidR="00496804" w:rsidRDefault="0037359D">
      <w:pPr>
        <w:spacing w:line="240" w:lineRule="auto"/>
        <w:rPr>
          <w:rFonts w:ascii="Times New Roman" w:hAnsi="Times New Roman"/>
          <w:sz w:val="24"/>
        </w:rPr>
      </w:pPr>
      <w:r>
        <w:rPr>
          <w:rFonts w:ascii="Times New Roman" w:hAnsi="Times New Roman"/>
          <w:sz w:val="24"/>
        </w:rPr>
        <w:t>Vremenska raspodjela korištenja prostora podrazumijeva korištenje jednog prostora od strane dva ili više različita korisnika (time &amp; space sharing). Idealna za javne objekte (</w:t>
      </w:r>
      <w:r w:rsidR="003E1E05">
        <w:rPr>
          <w:rFonts w:ascii="Times New Roman" w:hAnsi="Times New Roman"/>
          <w:sz w:val="24"/>
        </w:rPr>
        <w:t>školske dvorane</w:t>
      </w:r>
      <w:r>
        <w:rPr>
          <w:rFonts w:ascii="Times New Roman" w:hAnsi="Times New Roman"/>
          <w:sz w:val="24"/>
        </w:rPr>
        <w:t xml:space="preserve">, </w:t>
      </w:r>
      <w:r w:rsidR="003F4A26">
        <w:rPr>
          <w:rFonts w:ascii="Times New Roman" w:hAnsi="Times New Roman"/>
          <w:sz w:val="24"/>
        </w:rPr>
        <w:t>mjesni odbori</w:t>
      </w:r>
      <w:r>
        <w:rPr>
          <w:rFonts w:ascii="Times New Roman" w:hAnsi="Times New Roman"/>
          <w:sz w:val="24"/>
        </w:rPr>
        <w:t xml:space="preserve">, ambulante, </w:t>
      </w:r>
      <w:r w:rsidR="003F4A26">
        <w:rPr>
          <w:rFonts w:ascii="Times New Roman" w:hAnsi="Times New Roman"/>
          <w:sz w:val="24"/>
        </w:rPr>
        <w:t>muzeji</w:t>
      </w:r>
      <w:r>
        <w:rPr>
          <w:rFonts w:ascii="Times New Roman" w:hAnsi="Times New Roman"/>
          <w:sz w:val="24"/>
        </w:rPr>
        <w:t>, DVD</w:t>
      </w:r>
      <w:r w:rsidR="006E34A0">
        <w:rPr>
          <w:rFonts w:ascii="Times New Roman" w:hAnsi="Times New Roman"/>
          <w:sz w:val="24"/>
        </w:rPr>
        <w:t xml:space="preserve"> i sl.</w:t>
      </w:r>
      <w:r>
        <w:rPr>
          <w:rFonts w:ascii="Times New Roman" w:hAnsi="Times New Roman"/>
          <w:sz w:val="24"/>
        </w:rPr>
        <w:t xml:space="preserve">) koji se koriste samo dio vremena ili koji koriste samo dio prostora uslijed promjene intenziteta osnovne namjene. U svrhu ostvarivanja suživota raznih programa ponekad će biti potrebne dodatne prostorne intervencije ili opremanje. </w:t>
      </w:r>
    </w:p>
    <w:p w14:paraId="45D058BF" w14:textId="77777777" w:rsidR="00496804" w:rsidRDefault="0037359D">
      <w:pPr>
        <w:spacing w:line="240" w:lineRule="auto"/>
        <w:rPr>
          <w:rFonts w:ascii="Times New Roman" w:hAnsi="Times New Roman"/>
          <w:sz w:val="24"/>
          <w:u w:color="0076BA"/>
        </w:rPr>
      </w:pPr>
      <w:r>
        <w:rPr>
          <w:rFonts w:ascii="Times New Roman" w:hAnsi="Times New Roman"/>
          <w:sz w:val="24"/>
          <w:u w:color="0076BA"/>
        </w:rPr>
        <w:t xml:space="preserve">Fleksibilnost je osnovno načelo kod projektiranja. Potrebno je razmišljati o interesima lokalne zajednice i društveno-korisnom aspektu. Programi koji su posebno pogodni za suživot su razni modeli resursnih centara, </w:t>
      </w:r>
      <w:r>
        <w:rPr>
          <w:rFonts w:ascii="Times New Roman" w:hAnsi="Times New Roman"/>
          <w:i/>
          <w:iCs/>
          <w:sz w:val="24"/>
          <w:u w:color="0076BA"/>
        </w:rPr>
        <w:t>repair caffe</w:t>
      </w:r>
      <w:r>
        <w:rPr>
          <w:rFonts w:ascii="Times New Roman" w:hAnsi="Times New Roman"/>
          <w:sz w:val="24"/>
          <w:u w:color="0076BA"/>
        </w:rPr>
        <w:t xml:space="preserve">-i, dnevni boravci za treću dob, prostori za </w:t>
      </w:r>
      <w:r>
        <w:rPr>
          <w:rFonts w:ascii="Times New Roman" w:hAnsi="Times New Roman"/>
          <w:i/>
          <w:iCs/>
          <w:sz w:val="24"/>
          <w:u w:color="0076BA"/>
        </w:rPr>
        <w:t>co</w:t>
      </w:r>
      <w:r>
        <w:rPr>
          <w:rFonts w:ascii="Times New Roman" w:hAnsi="Times New Roman"/>
          <w:i/>
          <w:sz w:val="24"/>
          <w:u w:color="0076BA"/>
        </w:rPr>
        <w:t>-working</w:t>
      </w:r>
      <w:r>
        <w:rPr>
          <w:rFonts w:ascii="Times New Roman" w:hAnsi="Times New Roman"/>
          <w:sz w:val="24"/>
          <w:u w:color="0076BA"/>
        </w:rPr>
        <w:t xml:space="preserve">. </w:t>
      </w:r>
    </w:p>
    <w:p w14:paraId="45D058C0" w14:textId="77777777" w:rsidR="00496804" w:rsidRDefault="00496804">
      <w:pPr>
        <w:spacing w:line="240" w:lineRule="auto"/>
        <w:rPr>
          <w:rFonts w:ascii="Times New Roman" w:hAnsi="Times New Roman"/>
          <w:sz w:val="24"/>
          <w:u w:color="0076BA"/>
        </w:rPr>
      </w:pPr>
    </w:p>
    <w:p w14:paraId="45D058C1" w14:textId="1B1808FA" w:rsidR="00496804" w:rsidRDefault="0037359D">
      <w:pPr>
        <w:spacing w:line="240" w:lineRule="auto"/>
        <w:rPr>
          <w:rFonts w:ascii="Times New Roman" w:hAnsi="Times New Roman"/>
          <w:sz w:val="24"/>
        </w:rPr>
      </w:pPr>
      <w:r>
        <w:rPr>
          <w:rFonts w:ascii="Times New Roman" w:hAnsi="Times New Roman"/>
          <w:sz w:val="24"/>
        </w:rPr>
        <w:t>Kroz mjere bolje iskoristivosti postojećih struktura smanjuje</w:t>
      </w:r>
      <w:r w:rsidR="000C151B">
        <w:rPr>
          <w:rFonts w:ascii="Times New Roman" w:hAnsi="Times New Roman"/>
          <w:sz w:val="24"/>
        </w:rPr>
        <w:t xml:space="preserve"> se</w:t>
      </w:r>
      <w:r>
        <w:rPr>
          <w:rFonts w:ascii="Times New Roman" w:hAnsi="Times New Roman"/>
          <w:sz w:val="24"/>
        </w:rPr>
        <w:t xml:space="preserve"> potreb</w:t>
      </w:r>
      <w:r w:rsidR="000C151B">
        <w:rPr>
          <w:rFonts w:ascii="Times New Roman" w:hAnsi="Times New Roman"/>
          <w:sz w:val="24"/>
        </w:rPr>
        <w:t>a</w:t>
      </w:r>
      <w:r>
        <w:rPr>
          <w:rFonts w:ascii="Times New Roman" w:hAnsi="Times New Roman"/>
          <w:sz w:val="24"/>
        </w:rPr>
        <w:t xml:space="preserve"> izgradnje i održavanja novih te </w:t>
      </w:r>
      <w:r w:rsidR="000C151B">
        <w:rPr>
          <w:rFonts w:ascii="Times New Roman" w:hAnsi="Times New Roman"/>
          <w:sz w:val="24"/>
        </w:rPr>
        <w:t>se po</w:t>
      </w:r>
      <w:r>
        <w:rPr>
          <w:rFonts w:ascii="Times New Roman" w:hAnsi="Times New Roman"/>
          <w:sz w:val="24"/>
        </w:rPr>
        <w:t>diže kvalitet</w:t>
      </w:r>
      <w:r w:rsidR="000C151B">
        <w:rPr>
          <w:rFonts w:ascii="Times New Roman" w:hAnsi="Times New Roman"/>
          <w:sz w:val="24"/>
        </w:rPr>
        <w:t>a</w:t>
      </w:r>
      <w:r>
        <w:rPr>
          <w:rFonts w:ascii="Times New Roman" w:hAnsi="Times New Roman"/>
          <w:sz w:val="24"/>
        </w:rPr>
        <w:t xml:space="preserve"> postojećih struktura i kvalitet</w:t>
      </w:r>
      <w:r w:rsidR="000C151B">
        <w:rPr>
          <w:rFonts w:ascii="Times New Roman" w:hAnsi="Times New Roman"/>
          <w:sz w:val="24"/>
        </w:rPr>
        <w:t>a</w:t>
      </w:r>
      <w:r>
        <w:rPr>
          <w:rFonts w:ascii="Times New Roman" w:hAnsi="Times New Roman"/>
          <w:sz w:val="24"/>
        </w:rPr>
        <w:t xml:space="preserve"> života. Novi zahtjevi poslovanja i nove poduzetničke koncepcije sve su više okrenute poslovanju u digitalnom svijetu i traže aktivnu prilagodbu koju u fizičkom prostoru podržavaju prostorni planovi.</w:t>
      </w:r>
    </w:p>
    <w:p w14:paraId="7AF9E12D" w14:textId="77777777" w:rsidR="003810C9" w:rsidRDefault="003810C9">
      <w:pPr>
        <w:spacing w:line="240" w:lineRule="auto"/>
        <w:rPr>
          <w:rFonts w:ascii="Times New Roman" w:hAnsi="Times New Roman"/>
          <w:sz w:val="24"/>
        </w:rPr>
      </w:pPr>
    </w:p>
    <w:p w14:paraId="45D058C3" w14:textId="041D1898" w:rsidR="00496804" w:rsidRDefault="0037359D">
      <w:pPr>
        <w:spacing w:line="240" w:lineRule="auto"/>
        <w:rPr>
          <w:rFonts w:ascii="Times New Roman" w:hAnsi="Times New Roman"/>
          <w:sz w:val="24"/>
        </w:rPr>
      </w:pPr>
      <w:r>
        <w:rPr>
          <w:rFonts w:ascii="Times New Roman" w:hAnsi="Times New Roman"/>
          <w:sz w:val="24"/>
        </w:rPr>
        <w:t>Urbana struktura se privremenim korištenjem prilagođava na dinamičan način okolnostima koje nastaju u realnom vremenu. Jedan od aspekata je korištenje javnih otvorenih prostora (javni parkovi, urbani vrtovi i farme). Ove teme posebno obrađuje Program razvoja zelene infrastrukture u urbanim područjima za razdoblje 2021. do 2030. godine</w:t>
      </w:r>
      <w:r w:rsidR="00CD3AEA">
        <w:rPr>
          <w:rFonts w:ascii="Times New Roman" w:hAnsi="Times New Roman"/>
          <w:sz w:val="24"/>
        </w:rPr>
        <w:t>,</w:t>
      </w:r>
      <w:r>
        <w:rPr>
          <w:rFonts w:ascii="Times New Roman" w:hAnsi="Times New Roman"/>
          <w:sz w:val="24"/>
        </w:rPr>
        <w:t xml:space="preserve"> jer se zanemarivo mali broj planova uređenja zelenih površina u RH odnosi na tipove prostora kao što su javni otvoreni prostori u vidu urbanih vrtova, urbanih farmi i javnih parkova koji predstavljaju razmjerno novu kategoriju urbanih prostora. Naročito se otvara mogućnost za primjenu koncepta privremenog korištenja napuštenih ili neodgovarajuće korištenih javnih prostora u urbanom području</w:t>
      </w:r>
      <w:r w:rsidR="00CD3AEA">
        <w:rPr>
          <w:rFonts w:ascii="Times New Roman" w:hAnsi="Times New Roman"/>
          <w:sz w:val="24"/>
        </w:rPr>
        <w:t>,</w:t>
      </w:r>
      <w:r>
        <w:rPr>
          <w:rFonts w:ascii="Times New Roman" w:hAnsi="Times New Roman"/>
          <w:sz w:val="24"/>
        </w:rPr>
        <w:t xml:space="preserve"> kojim se može potaknuti lokalnu </w:t>
      </w:r>
      <w:r>
        <w:rPr>
          <w:rFonts w:ascii="Times New Roman" w:hAnsi="Times New Roman"/>
          <w:sz w:val="24"/>
        </w:rPr>
        <w:lastRenderedPageBreak/>
        <w:t xml:space="preserve">zajednicu u promišljanju rješenja u osmišljavanju javnih prostora za koje nije moguće predvidjeti trenutak privođenja planskoj namjeni, tj. osigurati sredstva za kvalitetnu urbanu obnovu takvih površina. </w:t>
      </w:r>
    </w:p>
    <w:p w14:paraId="45D058C4" w14:textId="77777777" w:rsidR="00496804" w:rsidRDefault="00496804">
      <w:pPr>
        <w:pStyle w:val="tekst"/>
        <w:spacing w:line="240" w:lineRule="auto"/>
        <w:rPr>
          <w:rFonts w:ascii="Times New Roman" w:hAnsi="Times New Roman" w:cs="Times New Roman"/>
          <w:sz w:val="24"/>
          <w:szCs w:val="24"/>
          <w:u w:color="942192"/>
        </w:rPr>
      </w:pPr>
    </w:p>
    <w:p w14:paraId="45D058C5" w14:textId="77777777" w:rsidR="00496804" w:rsidRDefault="0037359D">
      <w:pPr>
        <w:pStyle w:val="Naslov2"/>
        <w:ind w:left="426" w:hanging="426"/>
        <w:rPr>
          <w:rFonts w:ascii="Times New Roman" w:hAnsi="Times New Roman" w:cs="Times New Roman"/>
          <w:color w:val="auto"/>
          <w:sz w:val="24"/>
          <w:szCs w:val="24"/>
        </w:rPr>
      </w:pPr>
      <w:bookmarkStart w:id="49" w:name="_Toc51851629"/>
      <w:bookmarkEnd w:id="47"/>
      <w:r>
        <w:rPr>
          <w:rFonts w:ascii="Times New Roman" w:hAnsi="Times New Roman" w:cs="Times New Roman"/>
          <w:color w:val="auto"/>
          <w:sz w:val="24"/>
          <w:szCs w:val="24"/>
        </w:rPr>
        <w:t>KORISTI ZA RAZVOJ KRUŽNOG GOSPODARENJA PROSTOROM I ZGRADAMA</w:t>
      </w:r>
      <w:bookmarkEnd w:id="49"/>
    </w:p>
    <w:p w14:paraId="45D058C6" w14:textId="77777777" w:rsidR="00496804" w:rsidRDefault="00496804">
      <w:pPr>
        <w:pStyle w:val="tekst"/>
        <w:spacing w:line="240" w:lineRule="auto"/>
        <w:rPr>
          <w:rFonts w:ascii="Times New Roman" w:hAnsi="Times New Roman" w:cs="Times New Roman"/>
          <w:sz w:val="24"/>
          <w:szCs w:val="24"/>
        </w:rPr>
      </w:pPr>
    </w:p>
    <w:p w14:paraId="45D058C7"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Koristi za razvoj kružnog gospodarenja prostorom i zgradama strukturirane su kroz okolišni, ekonomski i društveni aspekt. Okolišni aspekt predstavljaju svi oni pozitivni procesi usmjereni na prostor i zgrade, okoliš, energiju i materijale. Većinu okolišnih koristi moguće je jednostavno kvantitativno iskazati i pratiti. Ekonomske smjernice su one u posljedično-uzročnoj vezi s procesima definiranim u okolišnim koristima te predstavljaju pozitivne ekonomske trendove kružnog gospodarenja. Pomoću složenih ekonomskih modela moguće je kvantitativno pratiti učinke kružnog gospodarenja na nacionalnoj ekonomskoj slici. Društvene koristi se odnose na povećanje kvalitete života stanovnika, a imaju važnu ulogu budući da ih može prepoznati i ocijeniti cijela zajednica. Budući da su teško kvantitativno iskazive, tendencija je da se društveni značaj, odnosno utjecaj pojedinog projekta uzme u obzir kod sagledavanja ekonomske isplativosti.</w:t>
      </w:r>
    </w:p>
    <w:p w14:paraId="45D058C8" w14:textId="77777777" w:rsidR="00496804" w:rsidRDefault="00496804">
      <w:pPr>
        <w:spacing w:line="240" w:lineRule="auto"/>
        <w:rPr>
          <w:rFonts w:ascii="Times New Roman" w:hAnsi="Times New Roman"/>
          <w:sz w:val="24"/>
          <w:lang w:eastAsia="hr-HR"/>
        </w:rPr>
      </w:pPr>
    </w:p>
    <w:p w14:paraId="45D058C9" w14:textId="77777777" w:rsidR="00496804" w:rsidRDefault="0037359D">
      <w:pPr>
        <w:pStyle w:val="Opisslike"/>
        <w:rPr>
          <w:rFonts w:ascii="Times New Roman" w:hAnsi="Times New Roman"/>
          <w:b w:val="0"/>
          <w:bCs w:val="0"/>
          <w:i/>
          <w:iCs/>
          <w:sz w:val="24"/>
          <w:szCs w:val="24"/>
          <w:lang w:eastAsia="hr-HR"/>
        </w:rPr>
      </w:pPr>
      <w:bookmarkStart w:id="50" w:name="_Hlk34972003"/>
      <w:r>
        <w:rPr>
          <w:rFonts w:ascii="Times New Roman" w:hAnsi="Times New Roman"/>
          <w:b w:val="0"/>
          <w:bCs w:val="0"/>
          <w:i/>
          <w:iCs/>
          <w:sz w:val="24"/>
          <w:szCs w:val="24"/>
        </w:rPr>
        <w:lastRenderedPageBreak/>
        <w:t xml:space="preserve">Tablica 1. </w:t>
      </w:r>
      <w:r>
        <w:rPr>
          <w:rFonts w:ascii="Times New Roman" w:hAnsi="Times New Roman"/>
          <w:b w:val="0"/>
          <w:bCs w:val="0"/>
          <w:i/>
          <w:iCs/>
          <w:sz w:val="24"/>
          <w:szCs w:val="24"/>
          <w:lang w:eastAsia="hr-HR"/>
        </w:rPr>
        <w:t>Koristi za razvoj kružnog gospodarenja prostorom i zgradama</w:t>
      </w:r>
    </w:p>
    <w:bookmarkEnd w:id="50"/>
    <w:p w14:paraId="45D058CA" w14:textId="77777777" w:rsidR="00496804" w:rsidRDefault="0037359D">
      <w:pPr>
        <w:pStyle w:val="tekst"/>
        <w:tabs>
          <w:tab w:val="left" w:pos="284"/>
        </w:tabs>
        <w:spacing w:line="240" w:lineRule="auto"/>
        <w:rPr>
          <w:rFonts w:ascii="Times New Roman" w:hAnsi="Times New Roman"/>
          <w:sz w:val="24"/>
        </w:rPr>
      </w:pPr>
      <w:r>
        <w:rPr>
          <w:rFonts w:ascii="Times New Roman" w:hAnsi="Times New Roman" w:cs="Times New Roman"/>
          <w:noProof/>
          <w:sz w:val="24"/>
          <w:szCs w:val="24"/>
        </w:rPr>
        <w:drawing>
          <wp:inline distT="0" distB="0" distL="0" distR="0" wp14:anchorId="45D061FB" wp14:editId="45D061FC">
            <wp:extent cx="6006465" cy="5658485"/>
            <wp:effectExtent l="0" t="38100" r="13335" b="565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Times New Roman" w:hAnsi="Times New Roman" w:cs="Times New Roman"/>
          <w:sz w:val="24"/>
          <w:szCs w:val="24"/>
        </w:rPr>
        <w:br w:type="page"/>
      </w:r>
    </w:p>
    <w:p w14:paraId="45D058CB" w14:textId="77777777" w:rsidR="00496804" w:rsidRDefault="0037359D">
      <w:pPr>
        <w:pStyle w:val="Naslov2"/>
        <w:ind w:left="426" w:hanging="426"/>
        <w:rPr>
          <w:rFonts w:ascii="Times New Roman" w:hAnsi="Times New Roman" w:cs="Times New Roman"/>
          <w:color w:val="auto"/>
          <w:sz w:val="24"/>
          <w:szCs w:val="24"/>
        </w:rPr>
      </w:pPr>
      <w:bookmarkStart w:id="51" w:name="_Toc51851630"/>
      <w:r>
        <w:rPr>
          <w:rFonts w:ascii="Times New Roman" w:hAnsi="Times New Roman" w:cs="Times New Roman"/>
          <w:color w:val="auto"/>
          <w:sz w:val="24"/>
          <w:szCs w:val="24"/>
        </w:rPr>
        <w:lastRenderedPageBreak/>
        <w:t>LEVEL(s)</w:t>
      </w:r>
      <w:bookmarkEnd w:id="51"/>
      <w:r>
        <w:rPr>
          <w:rFonts w:ascii="Times New Roman" w:hAnsi="Times New Roman" w:cs="Times New Roman"/>
          <w:color w:val="auto"/>
          <w:sz w:val="24"/>
          <w:szCs w:val="24"/>
        </w:rPr>
        <w:t xml:space="preserve"> </w:t>
      </w:r>
    </w:p>
    <w:p w14:paraId="45D058CC" w14:textId="77777777" w:rsidR="00496804" w:rsidRDefault="00496804">
      <w:pPr>
        <w:pStyle w:val="tekst"/>
        <w:spacing w:line="240" w:lineRule="auto"/>
        <w:rPr>
          <w:rFonts w:ascii="Times New Roman" w:hAnsi="Times New Roman" w:cs="Times New Roman"/>
          <w:sz w:val="24"/>
          <w:szCs w:val="24"/>
        </w:rPr>
      </w:pPr>
    </w:p>
    <w:p w14:paraId="45D058C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Opća uprava za okoliš Europske komisije (DG ENVI), u suradnji s velikim brojem građevinskih stručnjaka razvila je alat za procjenu i izvještavanje o aspektima održivosti građevina tijekom njihovog c</w:t>
      </w:r>
      <w:r>
        <w:rPr>
          <w:rFonts w:ascii="Times New Roman" w:hAnsi="Times New Roman"/>
          <w:sz w:val="24"/>
          <w:szCs w:val="24"/>
        </w:rPr>
        <w:t xml:space="preserve">jeloživotnog </w:t>
      </w:r>
      <w:r>
        <w:rPr>
          <w:rFonts w:ascii="Times New Roman" w:hAnsi="Times New Roman" w:cs="Times New Roman"/>
          <w:sz w:val="24"/>
          <w:szCs w:val="24"/>
        </w:rPr>
        <w:t>vijeka. LEVEL(s)</w:t>
      </w:r>
      <w:r>
        <w:rPr>
          <w:rStyle w:val="Referencafusnote"/>
          <w:rFonts w:ascii="Times New Roman" w:hAnsi="Times New Roman" w:cs="Times New Roman"/>
          <w:sz w:val="24"/>
          <w:szCs w:val="24"/>
        </w:rPr>
        <w:footnoteReference w:id="46"/>
      </w:r>
      <w:r>
        <w:rPr>
          <w:rFonts w:ascii="Times New Roman" w:hAnsi="Times New Roman" w:cs="Times New Roman"/>
          <w:sz w:val="24"/>
          <w:szCs w:val="24"/>
        </w:rPr>
        <w:t xml:space="preserve"> je alat za projektiranje i izgradnju održivih građevina te procjenu i izvještavanje o aspektima održivosti i kružnosti tijekom njihovog c</w:t>
      </w:r>
      <w:r>
        <w:rPr>
          <w:rFonts w:ascii="Times New Roman" w:hAnsi="Times New Roman"/>
          <w:sz w:val="24"/>
          <w:szCs w:val="24"/>
        </w:rPr>
        <w:t xml:space="preserve">jeloživotnog </w:t>
      </w:r>
      <w:r>
        <w:rPr>
          <w:rFonts w:ascii="Times New Roman" w:hAnsi="Times New Roman" w:cs="Times New Roman"/>
          <w:sz w:val="24"/>
          <w:szCs w:val="24"/>
        </w:rPr>
        <w:t>vijeka. On definira pokazatelje odnosno kriterije u procjeni održivosti i kružnosti i na taj način osigurava jedinstveni europski pristup procjeni okolišne učinkovitosti izgrađenog okoliša. LEVEL(s) će biti primjenjiv u različitim aktivnostima u kojima se potiče razvoj kružnih zgrada, poput zelene javne nabave, postupaka certificiranja i brojnih tržišnih inicijativa. LEVEL(s) povećava razinu znanja o održivoj gradnji na cjelokupnom europskom tržištu i postupno omogućava: poboljšanje izvedbe zgrada na troškovno učinkovit način, razmjenu iskustava i usporedbu primjera dobre prakse. Važni ciljevi pri kružnom planiranju prostora i projektiranju novih zgrada, kružnoj obnovi i reprogramiranju korištenih i nekorištenih prostora i zgrada u skladu s LEVEL(s) metodologijom prikazani su u tabelarnom prikazu:</w:t>
      </w:r>
    </w:p>
    <w:p w14:paraId="45D058CE" w14:textId="77777777" w:rsidR="00496804" w:rsidRDefault="00496804">
      <w:pPr>
        <w:pStyle w:val="Bezproreda"/>
        <w:jc w:val="both"/>
        <w:rPr>
          <w:lang w:val="hr-HR"/>
        </w:rPr>
      </w:pPr>
    </w:p>
    <w:p w14:paraId="45D058CF"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2. LEVEL(s) Ciljevi i opis</w:t>
      </w:r>
    </w:p>
    <w:tbl>
      <w:tblPr>
        <w:tblStyle w:val="Reetkatablice"/>
        <w:tblW w:w="5000" w:type="pct"/>
        <w:tblBorders>
          <w:left w:val="none" w:sz="0" w:space="0" w:color="auto"/>
          <w:right w:val="none" w:sz="0" w:space="0" w:color="auto"/>
        </w:tblBorders>
        <w:tblLook w:val="04A0" w:firstRow="1" w:lastRow="0" w:firstColumn="1" w:lastColumn="0" w:noHBand="0" w:noVBand="1"/>
      </w:tblPr>
      <w:tblGrid>
        <w:gridCol w:w="2655"/>
        <w:gridCol w:w="6977"/>
      </w:tblGrid>
      <w:tr w:rsidR="00496804" w14:paraId="45D058D2" w14:textId="77777777">
        <w:tc>
          <w:tcPr>
            <w:tcW w:w="1378" w:type="pct"/>
            <w:tcBorders>
              <w:top w:val="single" w:sz="4" w:space="0" w:color="auto"/>
              <w:right w:val="nil"/>
            </w:tcBorders>
            <w:shd w:val="clear" w:color="auto" w:fill="FFB279" w:themeFill="accent5" w:themeFillTint="99"/>
          </w:tcPr>
          <w:p w14:paraId="45D058D0" w14:textId="77777777" w:rsidR="00496804" w:rsidRDefault="0037359D">
            <w:pPr>
              <w:spacing w:line="240" w:lineRule="auto"/>
              <w:rPr>
                <w:rFonts w:ascii="Times New Roman" w:hAnsi="Times New Roman"/>
                <w:b/>
                <w:bCs/>
                <w:szCs w:val="22"/>
              </w:rPr>
            </w:pPr>
            <w:r>
              <w:rPr>
                <w:rFonts w:ascii="Times New Roman" w:hAnsi="Times New Roman"/>
                <w:b/>
                <w:bCs/>
                <w:szCs w:val="22"/>
              </w:rPr>
              <w:t>Ciljevi</w:t>
            </w:r>
          </w:p>
        </w:tc>
        <w:tc>
          <w:tcPr>
            <w:tcW w:w="3622" w:type="pct"/>
            <w:tcBorders>
              <w:top w:val="single" w:sz="4" w:space="0" w:color="auto"/>
              <w:left w:val="nil"/>
              <w:bottom w:val="single" w:sz="4" w:space="0" w:color="auto"/>
            </w:tcBorders>
            <w:shd w:val="clear" w:color="auto" w:fill="FFB279" w:themeFill="accent5" w:themeFillTint="99"/>
          </w:tcPr>
          <w:p w14:paraId="45D058D1" w14:textId="77777777" w:rsidR="00496804" w:rsidRDefault="0037359D">
            <w:pPr>
              <w:spacing w:line="240" w:lineRule="auto"/>
              <w:rPr>
                <w:rFonts w:ascii="Times New Roman" w:hAnsi="Times New Roman"/>
                <w:b/>
                <w:bCs/>
                <w:szCs w:val="22"/>
              </w:rPr>
            </w:pPr>
            <w:r>
              <w:rPr>
                <w:rFonts w:ascii="Times New Roman" w:hAnsi="Times New Roman"/>
                <w:b/>
                <w:bCs/>
                <w:szCs w:val="22"/>
              </w:rPr>
              <w:t>Opis</w:t>
            </w:r>
          </w:p>
        </w:tc>
      </w:tr>
      <w:tr w:rsidR="00496804" w14:paraId="45D058D5" w14:textId="77777777">
        <w:tc>
          <w:tcPr>
            <w:tcW w:w="1378" w:type="pct"/>
            <w:tcBorders>
              <w:right w:val="nil"/>
            </w:tcBorders>
            <w:shd w:val="clear" w:color="auto" w:fill="FFCCA6" w:themeFill="accent5" w:themeFillTint="66"/>
          </w:tcPr>
          <w:p w14:paraId="45D058D3"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top w:val="single" w:sz="4" w:space="0" w:color="auto"/>
              <w:left w:val="nil"/>
            </w:tcBorders>
            <w:shd w:val="clear" w:color="auto" w:fill="FFCCA6" w:themeFill="accent5" w:themeFillTint="66"/>
          </w:tcPr>
          <w:p w14:paraId="45D058D4" w14:textId="77777777" w:rsidR="00496804" w:rsidRDefault="0037359D">
            <w:pPr>
              <w:spacing w:line="240" w:lineRule="auto"/>
              <w:rPr>
                <w:rFonts w:ascii="Times New Roman" w:hAnsi="Times New Roman"/>
                <w:b/>
                <w:bCs/>
                <w:szCs w:val="22"/>
              </w:rPr>
            </w:pPr>
            <w:r>
              <w:rPr>
                <w:rFonts w:ascii="Times New Roman" w:hAnsi="Times New Roman"/>
                <w:b/>
                <w:bCs/>
                <w:szCs w:val="22"/>
              </w:rPr>
              <w:t>Cjeloživotni utjecaj svojstava zgrada na okoliš</w:t>
            </w:r>
          </w:p>
        </w:tc>
      </w:tr>
      <w:tr w:rsidR="00496804" w14:paraId="45D058D8" w14:textId="77777777">
        <w:tc>
          <w:tcPr>
            <w:tcW w:w="1378" w:type="pct"/>
          </w:tcPr>
          <w:p w14:paraId="45D058D6"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1. Emisije stakleničkih plinova tijekom cjeloživotnog vijeka zgrada</w:t>
            </w:r>
          </w:p>
        </w:tc>
        <w:tc>
          <w:tcPr>
            <w:tcW w:w="3622" w:type="pct"/>
          </w:tcPr>
          <w:p w14:paraId="45D058D7" w14:textId="6B45346A" w:rsidR="00496804" w:rsidRDefault="0037359D">
            <w:pPr>
              <w:spacing w:line="240" w:lineRule="auto"/>
              <w:rPr>
                <w:rFonts w:ascii="Times New Roman" w:hAnsi="Times New Roman"/>
                <w:szCs w:val="22"/>
              </w:rPr>
            </w:pPr>
            <w:r>
              <w:rPr>
                <w:rFonts w:ascii="Times New Roman" w:hAnsi="Times New Roman"/>
                <w:szCs w:val="22"/>
              </w:rPr>
              <w:t>Smanjiti ukupnu emisiju stakleničkih plinova na najmanju moguću mjeru (u ciklusu „od kolijevke do kolijevke“ – od izgradnje do uklanjanja i ponovnog korištenja materijala za novu gradnju), s naglaskom na emisije od energija potrebnih za korištenje zgrade i energije ugrađene u materijale zgrade</w:t>
            </w:r>
          </w:p>
        </w:tc>
      </w:tr>
      <w:tr w:rsidR="00496804" w14:paraId="45D058DC" w14:textId="77777777">
        <w:tc>
          <w:tcPr>
            <w:tcW w:w="1378" w:type="pct"/>
          </w:tcPr>
          <w:p w14:paraId="45D058D9"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2. Učinkovita primjena materijala i kružni životni ciklus materijala</w:t>
            </w:r>
          </w:p>
          <w:p w14:paraId="45D058DA" w14:textId="77777777" w:rsidR="00496804" w:rsidRDefault="00496804">
            <w:pPr>
              <w:spacing w:line="240" w:lineRule="auto"/>
              <w:jc w:val="left"/>
              <w:rPr>
                <w:rFonts w:ascii="Times New Roman" w:hAnsi="Times New Roman"/>
                <w:b/>
                <w:bCs/>
                <w:szCs w:val="22"/>
              </w:rPr>
            </w:pPr>
          </w:p>
        </w:tc>
        <w:tc>
          <w:tcPr>
            <w:tcW w:w="3622" w:type="pct"/>
          </w:tcPr>
          <w:p w14:paraId="45D058DB" w14:textId="58F8C55C" w:rsidR="00496804" w:rsidRDefault="0037359D">
            <w:pPr>
              <w:spacing w:line="240" w:lineRule="auto"/>
              <w:rPr>
                <w:rFonts w:ascii="Times New Roman" w:hAnsi="Times New Roman"/>
              </w:rPr>
            </w:pPr>
            <w:r>
              <w:rPr>
                <w:rFonts w:ascii="Times New Roman" w:hAnsi="Times New Roman"/>
              </w:rPr>
              <w:t>Optimizirati projekte zgrada konstrukcijski i oblikovno kako bi se poticali kružni tokovi korištenja materijala i primjena materijala s niskom ugrađenom energijom, produžila dugoročna korisnost materijala i umanjio značajan utjecaj primijenjenih materijala za gradnju zgrada na okoliš</w:t>
            </w:r>
          </w:p>
        </w:tc>
      </w:tr>
      <w:tr w:rsidR="00496804" w14:paraId="45D058DF" w14:textId="77777777">
        <w:tc>
          <w:tcPr>
            <w:tcW w:w="1378" w:type="pct"/>
          </w:tcPr>
          <w:p w14:paraId="45D058DD"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3. Učinkovito korištenje vode</w:t>
            </w:r>
          </w:p>
        </w:tc>
        <w:tc>
          <w:tcPr>
            <w:tcW w:w="3622" w:type="pct"/>
            <w:tcBorders>
              <w:bottom w:val="single" w:sz="4" w:space="0" w:color="auto"/>
            </w:tcBorders>
          </w:tcPr>
          <w:p w14:paraId="45D058DE" w14:textId="77777777" w:rsidR="00496804" w:rsidRDefault="0037359D">
            <w:pPr>
              <w:spacing w:line="240" w:lineRule="auto"/>
              <w:rPr>
                <w:rFonts w:ascii="Times New Roman" w:hAnsi="Times New Roman"/>
                <w:szCs w:val="22"/>
              </w:rPr>
            </w:pPr>
            <w:r>
              <w:rPr>
                <w:rFonts w:ascii="Times New Roman" w:hAnsi="Times New Roman"/>
                <w:szCs w:val="22"/>
              </w:rPr>
              <w:t xml:space="preserve">Učinkovito koristiti vodene resurse, pogotovo u područjima na kojima su identificirani ili predviđeni problemi s uporabom vode </w:t>
            </w:r>
          </w:p>
        </w:tc>
      </w:tr>
      <w:tr w:rsidR="00496804" w14:paraId="45D058E2" w14:textId="77777777">
        <w:tc>
          <w:tcPr>
            <w:tcW w:w="1378" w:type="pct"/>
            <w:tcBorders>
              <w:right w:val="nil"/>
            </w:tcBorders>
            <w:shd w:val="clear" w:color="auto" w:fill="FFCCA6" w:themeFill="accent5" w:themeFillTint="66"/>
          </w:tcPr>
          <w:p w14:paraId="45D058E0"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left w:val="nil"/>
              <w:right w:val="nil"/>
            </w:tcBorders>
            <w:shd w:val="clear" w:color="auto" w:fill="FFCCA6" w:themeFill="accent5" w:themeFillTint="66"/>
          </w:tcPr>
          <w:p w14:paraId="45D058E1" w14:textId="77777777" w:rsidR="00496804" w:rsidRDefault="0037359D">
            <w:pPr>
              <w:spacing w:line="240" w:lineRule="auto"/>
              <w:rPr>
                <w:rFonts w:ascii="Times New Roman" w:hAnsi="Times New Roman"/>
                <w:b/>
                <w:bCs/>
                <w:szCs w:val="22"/>
              </w:rPr>
            </w:pPr>
            <w:r>
              <w:rPr>
                <w:rFonts w:ascii="Times New Roman" w:hAnsi="Times New Roman"/>
                <w:b/>
                <w:bCs/>
                <w:szCs w:val="22"/>
              </w:rPr>
              <w:t>Zdravlje i udobnost u korištenju zgrada</w:t>
            </w:r>
          </w:p>
        </w:tc>
      </w:tr>
      <w:tr w:rsidR="00496804" w14:paraId="45D058E5" w14:textId="77777777">
        <w:tc>
          <w:tcPr>
            <w:tcW w:w="1378" w:type="pct"/>
          </w:tcPr>
          <w:p w14:paraId="45D058E3" w14:textId="77777777" w:rsidR="00496804" w:rsidRDefault="0037359D">
            <w:pPr>
              <w:spacing w:line="240" w:lineRule="auto"/>
              <w:jc w:val="left"/>
              <w:rPr>
                <w:rFonts w:ascii="Times New Roman" w:hAnsi="Times New Roman"/>
                <w:b/>
                <w:bCs/>
              </w:rPr>
            </w:pPr>
            <w:r>
              <w:rPr>
                <w:rFonts w:ascii="Times New Roman" w:hAnsi="Times New Roman"/>
                <w:b/>
                <w:bCs/>
              </w:rPr>
              <w:t>4. Zdravi, sigurni i udobni prostori</w:t>
            </w:r>
          </w:p>
        </w:tc>
        <w:tc>
          <w:tcPr>
            <w:tcW w:w="3622" w:type="pct"/>
            <w:tcBorders>
              <w:bottom w:val="single" w:sz="4" w:space="0" w:color="auto"/>
            </w:tcBorders>
          </w:tcPr>
          <w:p w14:paraId="45D058E4" w14:textId="6AB65D9C" w:rsidR="00496804" w:rsidRDefault="0037359D" w:rsidP="0032574A">
            <w:pPr>
              <w:spacing w:line="240" w:lineRule="auto"/>
              <w:rPr>
                <w:rFonts w:ascii="Times New Roman" w:hAnsi="Times New Roman"/>
              </w:rPr>
            </w:pPr>
            <w:r>
              <w:rPr>
                <w:rFonts w:ascii="Times New Roman" w:hAnsi="Times New Roman"/>
              </w:rPr>
              <w:t>Graditi zgrade koje su energetski učinkovite i sigurne, ali pri tom i udobne, atraktivne i poticajne za život i rad u njima i koje štite ljudsko zdravlje u pogledu mikroklimatskih uvjeta, akustike i kvalitete zraka u unutarnjem prostoru</w:t>
            </w:r>
          </w:p>
        </w:tc>
      </w:tr>
      <w:tr w:rsidR="00496804" w14:paraId="45D058E8" w14:textId="77777777">
        <w:tc>
          <w:tcPr>
            <w:tcW w:w="1378" w:type="pct"/>
            <w:tcBorders>
              <w:right w:val="nil"/>
            </w:tcBorders>
            <w:shd w:val="clear" w:color="auto" w:fill="FFCCA6" w:themeFill="accent5" w:themeFillTint="66"/>
          </w:tcPr>
          <w:p w14:paraId="45D058E6"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left w:val="nil"/>
            </w:tcBorders>
            <w:shd w:val="clear" w:color="auto" w:fill="FFCCA6" w:themeFill="accent5" w:themeFillTint="66"/>
          </w:tcPr>
          <w:p w14:paraId="45D058E7" w14:textId="77777777" w:rsidR="00496804" w:rsidRDefault="0037359D">
            <w:pPr>
              <w:spacing w:line="240" w:lineRule="auto"/>
              <w:rPr>
                <w:rFonts w:ascii="Times New Roman" w:hAnsi="Times New Roman"/>
                <w:b/>
                <w:bCs/>
                <w:szCs w:val="22"/>
              </w:rPr>
            </w:pPr>
            <w:r>
              <w:rPr>
                <w:rFonts w:ascii="Times New Roman" w:hAnsi="Times New Roman"/>
                <w:b/>
                <w:bCs/>
                <w:szCs w:val="22"/>
              </w:rPr>
              <w:t>Trošak, vrijednost i rizici</w:t>
            </w:r>
          </w:p>
        </w:tc>
      </w:tr>
      <w:tr w:rsidR="00496804" w14:paraId="45D058EB" w14:textId="77777777">
        <w:tc>
          <w:tcPr>
            <w:tcW w:w="1378" w:type="pct"/>
          </w:tcPr>
          <w:p w14:paraId="45D058E9"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5. Prilagodljivost i otpornost na klimatske promjene</w:t>
            </w:r>
          </w:p>
        </w:tc>
        <w:tc>
          <w:tcPr>
            <w:tcW w:w="3622" w:type="pct"/>
          </w:tcPr>
          <w:p w14:paraId="45D058EA" w14:textId="71321365" w:rsidR="00496804" w:rsidRDefault="0037359D">
            <w:pPr>
              <w:spacing w:line="240" w:lineRule="auto"/>
              <w:rPr>
                <w:rFonts w:ascii="Times New Roman" w:hAnsi="Times New Roman"/>
              </w:rPr>
            </w:pPr>
            <w:r>
              <w:rPr>
                <w:rFonts w:ascii="Times New Roman" w:hAnsi="Times New Roman"/>
              </w:rPr>
              <w:t>Graditi zgrade otporne na očekivane klimatske promjene (budući klimatski ekstremi – poplave, obilne oborine, suša, ekstremni vjetrovi, snijeg, požari, podizanje razine mora), kako bi se zaštitilo zdravlje i udobnost korisnika te održala vrijednost nekretnine i umanjili rizici na vrijednost nekretnine u budućnosti</w:t>
            </w:r>
          </w:p>
        </w:tc>
      </w:tr>
      <w:tr w:rsidR="00496804" w14:paraId="45D058EE" w14:textId="77777777">
        <w:trPr>
          <w:trHeight w:val="113"/>
        </w:trPr>
        <w:tc>
          <w:tcPr>
            <w:tcW w:w="1378" w:type="pct"/>
          </w:tcPr>
          <w:p w14:paraId="45D058EC"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6. Troškovno optimizirani cjeloživotni vijek zgrada</w:t>
            </w:r>
          </w:p>
        </w:tc>
        <w:tc>
          <w:tcPr>
            <w:tcW w:w="3622" w:type="pct"/>
          </w:tcPr>
          <w:p w14:paraId="45D058ED" w14:textId="291EEED9" w:rsidR="00496804" w:rsidRDefault="0037359D">
            <w:pPr>
              <w:spacing w:line="240" w:lineRule="auto"/>
              <w:rPr>
                <w:rFonts w:ascii="Times New Roman" w:hAnsi="Times New Roman"/>
                <w:szCs w:val="22"/>
              </w:rPr>
            </w:pPr>
            <w:r>
              <w:rPr>
                <w:rFonts w:ascii="Times New Roman" w:hAnsi="Times New Roman"/>
                <w:szCs w:val="22"/>
              </w:rPr>
              <w:t xml:space="preserve">Optimiziranje troškova i dobivene vrijednosti za cjeloživotni vijek zgrade, razmišljajući o dugoročnom potencijalu za poboljšanja svojstava zgrade, uključujući moguću buduću preprodaju, prenamjenu, upravljanje, održavanje, preuređenja, uklanjanje i kraj životnog vijeka zgrade. Univerzalni dizajn koji će osigurati dugoročnu vrijednost zgrade kao nekretnine kroz modularnost konstrukcije i dispozicije, fleksibilnost i adaptabilnost prostora i instalacijskih sustava zgrade za promjenu primarne namjene. Primjena robusnih i dugotrajnih materijala s niskim troškovima održavanja s mogućim korištenjem materijala i nakon završetka cjeloživotnog vijeka zgrade </w:t>
            </w:r>
          </w:p>
        </w:tc>
      </w:tr>
    </w:tbl>
    <w:p w14:paraId="45D058EF"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8F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52" w:name="_Toc51851631"/>
      <w:r>
        <w:rPr>
          <w:rFonts w:ascii="Times New Roman" w:hAnsi="Times New Roman" w:cs="Times New Roman"/>
          <w:sz w:val="24"/>
          <w:szCs w:val="24"/>
        </w:rPr>
        <w:lastRenderedPageBreak/>
        <w:t>PREGLED STANJA U PROSTORU</w:t>
      </w:r>
      <w:bookmarkEnd w:id="52"/>
    </w:p>
    <w:p w14:paraId="45D058F1" w14:textId="77777777" w:rsidR="00496804" w:rsidRDefault="00496804">
      <w:pPr>
        <w:spacing w:line="240" w:lineRule="auto"/>
        <w:rPr>
          <w:rFonts w:ascii="Times New Roman" w:hAnsi="Times New Roman"/>
          <w:sz w:val="24"/>
        </w:rPr>
      </w:pPr>
    </w:p>
    <w:p w14:paraId="45D058F2" w14:textId="5980436D" w:rsidR="00496804" w:rsidRDefault="0037359D">
      <w:pPr>
        <w:spacing w:line="240" w:lineRule="auto"/>
        <w:rPr>
          <w:rFonts w:ascii="Times New Roman" w:hAnsi="Times New Roman"/>
          <w:sz w:val="24"/>
        </w:rPr>
      </w:pPr>
      <w:r>
        <w:rPr>
          <w:rFonts w:ascii="Times New Roman" w:hAnsi="Times New Roman"/>
          <w:sz w:val="24"/>
        </w:rPr>
        <w:t xml:space="preserve">Globalni trendovi kao što su klimatske promjene, degradacija okoliša, demografske promjene i sve veća potrošnja, postavljaju značajne i potencijalno neodržive pritiske na dostupnost i upotrebljivost prirodnih resursa poput zemlje, vode i ekosustava. U dokumentu </w:t>
      </w:r>
      <w:r>
        <w:rPr>
          <w:rFonts w:ascii="Times New Roman" w:hAnsi="Times New Roman"/>
          <w:bCs/>
          <w:sz w:val="24"/>
        </w:rPr>
        <w:t>Leading the way to a global circular economy: state of play and outlook</w:t>
      </w:r>
      <w:r>
        <w:rPr>
          <w:rStyle w:val="Referencafusnote"/>
          <w:rFonts w:ascii="Times New Roman" w:hAnsi="Times New Roman"/>
          <w:bCs/>
          <w:sz w:val="24"/>
        </w:rPr>
        <w:footnoteReference w:id="47"/>
      </w:r>
      <w:r>
        <w:rPr>
          <w:rFonts w:ascii="Times New Roman" w:hAnsi="Times New Roman"/>
          <w:sz w:val="24"/>
        </w:rPr>
        <w:t xml:space="preserve"> navodi se procjena da </w:t>
      </w:r>
      <w:r w:rsidR="0058361F">
        <w:rPr>
          <w:rFonts w:ascii="Times New Roman" w:hAnsi="Times New Roman"/>
          <w:sz w:val="24"/>
        </w:rPr>
        <w:t>s</w:t>
      </w:r>
      <w:r>
        <w:rPr>
          <w:rFonts w:ascii="Times New Roman" w:hAnsi="Times New Roman"/>
          <w:sz w:val="24"/>
        </w:rPr>
        <w:t>e</w:t>
      </w:r>
      <w:r w:rsidR="0058361F">
        <w:rPr>
          <w:rFonts w:ascii="Times New Roman" w:hAnsi="Times New Roman"/>
          <w:sz w:val="24"/>
        </w:rPr>
        <w:t>,</w:t>
      </w:r>
      <w:r>
        <w:rPr>
          <w:rFonts w:ascii="Times New Roman" w:hAnsi="Times New Roman"/>
          <w:sz w:val="24"/>
        </w:rPr>
        <w:t xml:space="preserve"> između 1970. i 2017. godine, godišnje globalno vađenje sirovina više nego utrostručilo, povećavajući se sa 27 milijardi tona na 92 milijarde tona. Od 2000. godine ubrzale su se stope vađenja, povećavajući se za 3,2 % godišnje. To je velikim dijelom potaknuto velikim infrastrukturnim ulaganjima i većim životnim standardom u zemljama u razvoju i tranziciji. </w:t>
      </w:r>
    </w:p>
    <w:p w14:paraId="45D058F3" w14:textId="77777777" w:rsidR="00496804" w:rsidRDefault="00496804">
      <w:pPr>
        <w:spacing w:line="240" w:lineRule="auto"/>
        <w:rPr>
          <w:rFonts w:ascii="Times New Roman" w:hAnsi="Times New Roman"/>
          <w:sz w:val="24"/>
        </w:rPr>
      </w:pPr>
    </w:p>
    <w:p w14:paraId="45D058F4" w14:textId="77777777" w:rsidR="00496804" w:rsidRDefault="0037359D">
      <w:pPr>
        <w:spacing w:line="240" w:lineRule="auto"/>
        <w:rPr>
          <w:rFonts w:ascii="Times New Roman" w:hAnsi="Times New Roman"/>
          <w:sz w:val="24"/>
        </w:rPr>
      </w:pPr>
      <w:r>
        <w:rPr>
          <w:rFonts w:ascii="Times New Roman" w:hAnsi="Times New Roman"/>
          <w:sz w:val="24"/>
        </w:rPr>
        <w:t>Očekuje se da će se u sljedećih 30 godina globalno urbano stanovništvo povećati za približno 2,4 milijarde, a njegov udio sa 54% u 2015. na 66% u 2050. godini. Povećanje broja stanovnika rezultira znatnim širenjem postojećih gradova i izgradnjom novih gradova. Gradovi koriste milijarde tona materijalnih resursa od fosilnih goriva, pijeska, šljunka i željezne rude do biotičkih resursa kao što su drvo i hrana. Više od trećine globalne potrošnje resursa namijenjeno je građevnim materijalima i građevinskom sektoru. Proizvodnja tih materijala zahtijeva energiju, što predstavlja više od 40% emisija stakleničkih plinova povezanih s proizvodnjom materijala. Predviđa se da će takva potrošnja sirovina rasti brže od urbanog stanovništva i dosegnuti oko 90 milijardi tona do 2050. godine (40 milijardi tona 2010.). Velika potražnja za takvim sirovinama daleko premašuje ono što planet može na održiv način osigurati te značajno pridonosi klimatskim promjenama (danas je beton odgovoran za 9% ukupne emisije stakleničkih plinova).</w:t>
      </w:r>
    </w:p>
    <w:p w14:paraId="45D058F5" w14:textId="77777777" w:rsidR="00496804" w:rsidRDefault="00496804">
      <w:pPr>
        <w:spacing w:line="240" w:lineRule="auto"/>
        <w:rPr>
          <w:rFonts w:ascii="Times New Roman" w:hAnsi="Times New Roman"/>
          <w:sz w:val="24"/>
        </w:rPr>
      </w:pPr>
    </w:p>
    <w:p w14:paraId="45D058F6" w14:textId="3A42CEBF" w:rsidR="00496804" w:rsidRDefault="0037359D">
      <w:pPr>
        <w:spacing w:line="240" w:lineRule="auto"/>
        <w:rPr>
          <w:rFonts w:ascii="Times New Roman" w:hAnsi="Times New Roman"/>
          <w:sz w:val="24"/>
        </w:rPr>
      </w:pPr>
      <w:r>
        <w:rPr>
          <w:rFonts w:ascii="Times New Roman" w:hAnsi="Times New Roman"/>
          <w:sz w:val="24"/>
        </w:rPr>
        <w:t>Zbog dugogodišnjeg trenda rasta gradova niske kompaktnosti, površina urbanih područja mogla bi se povećati s nešto manje od milijun četvornih kilometara na više od 2,5 milijuna četvornih kilometara u 2050. godini. Time bi se poljoprivredno zemljište i opskrba hranom doveli u rizik. Naime, brtvljenje tla</w:t>
      </w:r>
      <w:r w:rsidR="00CF015F">
        <w:rPr>
          <w:rFonts w:ascii="Times New Roman" w:hAnsi="Times New Roman"/>
          <w:sz w:val="24"/>
        </w:rPr>
        <w:t xml:space="preserve"> tj.</w:t>
      </w:r>
      <w:r>
        <w:rPr>
          <w:rFonts w:ascii="Times New Roman" w:hAnsi="Times New Roman"/>
          <w:sz w:val="24"/>
        </w:rPr>
        <w:t xml:space="preserve"> prekrivanje tla nepropusnim materijalom</w:t>
      </w:r>
      <w:r w:rsidR="008030EB">
        <w:rPr>
          <w:rFonts w:ascii="Times New Roman" w:hAnsi="Times New Roman"/>
          <w:sz w:val="24"/>
        </w:rPr>
        <w:t xml:space="preserve"> </w:t>
      </w:r>
      <w:r w:rsidR="00035C18" w:rsidRPr="00035C18">
        <w:rPr>
          <w:rFonts w:ascii="Times New Roman" w:hAnsi="Times New Roman"/>
          <w:sz w:val="24"/>
        </w:rPr>
        <w:t>kao posljedica urbanog razvoja i izgradnje infrastrukture,</w:t>
      </w:r>
      <w:r>
        <w:rPr>
          <w:rFonts w:ascii="Times New Roman" w:hAnsi="Times New Roman"/>
          <w:sz w:val="24"/>
        </w:rPr>
        <w:t xml:space="preserve"> jedan je od glavnih uzroka degradacije tla u EU. Brtvljenje tla često utječe na plodno poljoprivredno zemljište, dovodi biološku raznolikost u opasnost, povećava rizik od poplava i nestašice vode te pridonosi globalnom zatopljenju.</w:t>
      </w:r>
      <w:r w:rsidR="0086271F" w:rsidRPr="0086271F">
        <w:t xml:space="preserve"> </w:t>
      </w:r>
      <w:r w:rsidR="0086271F" w:rsidRPr="0086271F">
        <w:rPr>
          <w:rFonts w:ascii="Times New Roman" w:hAnsi="Times New Roman"/>
          <w:sz w:val="24"/>
        </w:rPr>
        <w:t>Potrebno je poticati održivo upravljanje prostornim resursima ponovnom upotrebom već korištenih prostora i zgrada</w:t>
      </w:r>
      <w:r w:rsidR="0086271F">
        <w:rPr>
          <w:rFonts w:ascii="Times New Roman" w:hAnsi="Times New Roman"/>
          <w:sz w:val="24"/>
        </w:rPr>
        <w:t>.</w:t>
      </w:r>
      <w:r>
        <w:rPr>
          <w:rFonts w:ascii="Times New Roman" w:hAnsi="Times New Roman"/>
          <w:sz w:val="24"/>
        </w:rPr>
        <w:t xml:space="preserve"> </w:t>
      </w:r>
    </w:p>
    <w:p w14:paraId="45D058F7" w14:textId="77777777" w:rsidR="00496804" w:rsidRDefault="00496804">
      <w:pPr>
        <w:spacing w:line="240" w:lineRule="auto"/>
        <w:rPr>
          <w:rFonts w:ascii="Times New Roman" w:hAnsi="Times New Roman"/>
          <w:sz w:val="24"/>
        </w:rPr>
      </w:pPr>
    </w:p>
    <w:p w14:paraId="45D058F8" w14:textId="28A79786" w:rsidR="00496804" w:rsidRDefault="0037359D">
      <w:pPr>
        <w:spacing w:line="240" w:lineRule="auto"/>
        <w:rPr>
          <w:rFonts w:ascii="Times New Roman" w:hAnsi="Times New Roman"/>
          <w:sz w:val="24"/>
        </w:rPr>
      </w:pPr>
      <w:r>
        <w:rPr>
          <w:rFonts w:ascii="Times New Roman" w:hAnsi="Times New Roman"/>
          <w:sz w:val="24"/>
        </w:rPr>
        <w:t>EK u svojoj Komunikaciji Novi akcijski plan za kružno gospodarstvo, za čišću i konkurentniju Europu, navodi da izgrađeni okoliš znatno utječe na različite sektore gospodarstva, lokalna radna mjesta i kvalitetu života. On crpi oko 50% svih ekstrahiranih materijala, dok građevinski sektor proizvodi više od 35% ukupnog otpada u EU. Prema procjenama 5</w:t>
      </w:r>
      <w:r w:rsidR="00463064">
        <w:rPr>
          <w:rFonts w:ascii="Times New Roman" w:hAnsi="Times New Roman"/>
          <w:sz w:val="24"/>
        </w:rPr>
        <w:t>-</w:t>
      </w:r>
      <w:r>
        <w:rPr>
          <w:rFonts w:ascii="Times New Roman" w:hAnsi="Times New Roman"/>
          <w:sz w:val="24"/>
        </w:rPr>
        <w:t>12% ukupnih nacionalnih emisija stakleničkih plinova čine emisije iz ekstrakcije materijala, proizvodnje građevnih proizvoda te izgradnje i obnove zgrada. Veća učinkovitost materijala mogla bi smanjiti te emisije za 80%.</w:t>
      </w:r>
    </w:p>
    <w:p w14:paraId="45D058F9" w14:textId="77777777" w:rsidR="00496804" w:rsidRDefault="00496804">
      <w:pPr>
        <w:spacing w:line="240" w:lineRule="auto"/>
        <w:rPr>
          <w:rFonts w:ascii="Times New Roman" w:hAnsi="Times New Roman"/>
          <w:sz w:val="24"/>
          <w:lang w:eastAsia="hr-HR"/>
        </w:rPr>
      </w:pPr>
    </w:p>
    <w:p w14:paraId="45D058FA" w14:textId="21C0E100" w:rsidR="00496804" w:rsidRDefault="0037359D">
      <w:pPr>
        <w:spacing w:line="240" w:lineRule="auto"/>
        <w:rPr>
          <w:rFonts w:ascii="Times New Roman" w:hAnsi="Times New Roman"/>
          <w:sz w:val="24"/>
        </w:rPr>
      </w:pPr>
      <w:r>
        <w:rPr>
          <w:rFonts w:ascii="Times New Roman" w:hAnsi="Times New Roman"/>
          <w:sz w:val="24"/>
        </w:rPr>
        <w:t xml:space="preserve">SPRRH izdvaja dvije skupine pritisaka na prostor: utjecaji klimatskih promjena i antropogeni utjecaji. Globalno zagrijavanje tako dovodi do ekstremnih vremenskih pojava kao što su obilne kiše, toplinski valovi i naleti vjetra razorne snage. U urbanim sredinama nastaju promjene mikroklime uslijed aktivnosti koje se u njima odvijaju, ali i zbog gustoće izgradnje te nepovoljnog omjera izgrađenih i prirodnih površina. Među antropogenim utjecajima za urbana područja izdvaja se nezakonita gradnja, napuštena i preskočena područja (reorganizacija obrambenog sustava i posljedično napušteni vojni kompleksi, restrukturiranje velikih industrijskih proizvođača i pripadajuće nekretnine koje nisu u svojoj prvotnoj namjeni, ugostiteljsko turistički prostori), odnos prema kulturnoj baštini i krajobrazu te postupanje s otpadom. Dodatno valja izdvojiti i potres jer ostvaruje značajno negativan utjecaj na </w:t>
      </w:r>
      <w:r>
        <w:rPr>
          <w:rFonts w:ascii="Times New Roman" w:hAnsi="Times New Roman"/>
          <w:sz w:val="24"/>
        </w:rPr>
        <w:lastRenderedPageBreak/>
        <w:t>gradove. Demografsko starenje, proces depopulacije te unutarnje migracije neki su od nepovoljnih pritisaka na prostor s</w:t>
      </w:r>
      <w:r>
        <w:rPr>
          <w:rFonts w:ascii="Times New Roman" w:eastAsia="Times" w:hAnsi="Times New Roman"/>
          <w:sz w:val="24"/>
        </w:rPr>
        <w:t xml:space="preserve"> negativnim učincima, posebno na gospodarski, zdravstveni i mirovinski sustav. Uslijed navedenih kretanja sve</w:t>
      </w:r>
      <w:r>
        <w:rPr>
          <w:rFonts w:ascii="Times New Roman" w:hAnsi="Times New Roman"/>
          <w:sz w:val="24"/>
        </w:rPr>
        <w:t xml:space="preserve"> veći broj prostora i zgrada </w:t>
      </w:r>
      <w:r w:rsidR="00537202">
        <w:rPr>
          <w:rFonts w:ascii="Times New Roman" w:hAnsi="Times New Roman"/>
          <w:sz w:val="24"/>
        </w:rPr>
        <w:t xml:space="preserve">(zdravstvene ambulante, škole, pošte i sl ) </w:t>
      </w:r>
      <w:r>
        <w:rPr>
          <w:rFonts w:ascii="Times New Roman" w:hAnsi="Times New Roman"/>
          <w:sz w:val="24"/>
        </w:rPr>
        <w:t>gubi osnovnu namjenu. Nedostatak navedenih funkcija smanjuje kvalitetu života u tim naseljima, a mjere kružnosti bi mogle biti dio sveobuhvatnih rješenja kojima bi se osiguravala održivost navedenih funkcija u naseljima i potaklo zadržavanje lokalnog stanovništva.</w:t>
      </w:r>
    </w:p>
    <w:p w14:paraId="45D058FB" w14:textId="77777777" w:rsidR="00496804" w:rsidRDefault="00496804">
      <w:pPr>
        <w:spacing w:line="240" w:lineRule="auto"/>
        <w:rPr>
          <w:rFonts w:ascii="Times New Roman" w:hAnsi="Times New Roman"/>
          <w:sz w:val="24"/>
        </w:rPr>
      </w:pPr>
    </w:p>
    <w:p w14:paraId="45D058FC" w14:textId="77777777" w:rsidR="00496804" w:rsidRDefault="0037359D">
      <w:pPr>
        <w:spacing w:line="240" w:lineRule="auto"/>
        <w:rPr>
          <w:rFonts w:ascii="Times New Roman" w:hAnsi="Times New Roman"/>
          <w:sz w:val="24"/>
        </w:rPr>
      </w:pPr>
      <w:r>
        <w:rPr>
          <w:rFonts w:ascii="Times New Roman" w:hAnsi="Times New Roman"/>
          <w:sz w:val="24"/>
        </w:rPr>
        <w:t xml:space="preserve">Navedeni pritisci ostavljaju neizbrisiv trag u prostoru, a posebno na urbana područja i zgrade. Odgovor na posljedice navedenih pritisaka nudi razvoj kružnog gospodarenja prostorom i zgradama. On pronalazi uporište u različitim nacionalnim strateškim dokumentima i dostupnim podacima iz kojih se izvode sljedeća polja interesa vezana za </w:t>
      </w:r>
      <w:r>
        <w:rPr>
          <w:rFonts w:ascii="Times New Roman" w:hAnsi="Times New Roman"/>
          <w:iCs/>
          <w:sz w:val="24"/>
        </w:rPr>
        <w:t>razvoj kružnog gospodarenja prostorom i zgradama</w:t>
      </w:r>
      <w:r>
        <w:rPr>
          <w:rFonts w:ascii="Times New Roman" w:hAnsi="Times New Roman"/>
          <w:sz w:val="24"/>
        </w:rPr>
        <w:t>:</w:t>
      </w:r>
    </w:p>
    <w:p w14:paraId="45D058FD" w14:textId="406CAAE0" w:rsidR="00496804" w:rsidRDefault="0037359D">
      <w:pPr>
        <w:pStyle w:val="tekst"/>
        <w:numPr>
          <w:ilvl w:val="0"/>
          <w:numId w:val="9"/>
        </w:numPr>
        <w:spacing w:line="240" w:lineRule="auto"/>
        <w:ind w:left="426" w:hanging="284"/>
        <w:rPr>
          <w:rFonts w:ascii="Times New Roman" w:hAnsi="Times New Roman" w:cs="Times New Roman"/>
          <w:b/>
          <w:bCs/>
          <w:sz w:val="24"/>
          <w:szCs w:val="24"/>
        </w:rPr>
      </w:pPr>
      <w:r>
        <w:rPr>
          <w:rFonts w:ascii="Times New Roman" w:hAnsi="Times New Roman" w:cs="Times New Roman"/>
          <w:bCs/>
          <w:sz w:val="24"/>
          <w:szCs w:val="24"/>
        </w:rPr>
        <w:t>Napušteni prostori i zgrade</w:t>
      </w:r>
      <w:r>
        <w:rPr>
          <w:rFonts w:ascii="Times New Roman" w:hAnsi="Times New Roman" w:cs="Times New Roman"/>
          <w:b/>
          <w:bCs/>
          <w:sz w:val="24"/>
          <w:szCs w:val="24"/>
        </w:rPr>
        <w:t xml:space="preserve"> – </w:t>
      </w:r>
      <w:r>
        <w:rPr>
          <w:rFonts w:ascii="Times New Roman" w:hAnsi="Times New Roman" w:cs="Times New Roman"/>
          <w:sz w:val="24"/>
          <w:szCs w:val="24"/>
        </w:rPr>
        <w:t xml:space="preserve">kao posljedica velikih strukturnih promjena u zadnjih </w:t>
      </w:r>
      <w:r w:rsidR="006312E9">
        <w:rPr>
          <w:rFonts w:ascii="Times New Roman" w:hAnsi="Times New Roman" w:cs="Times New Roman"/>
          <w:sz w:val="24"/>
          <w:szCs w:val="24"/>
        </w:rPr>
        <w:t>30</w:t>
      </w:r>
      <w:r>
        <w:rPr>
          <w:rFonts w:ascii="Times New Roman" w:hAnsi="Times New Roman" w:cs="Times New Roman"/>
          <w:sz w:val="24"/>
          <w:szCs w:val="24"/>
        </w:rPr>
        <w:t xml:space="preserve"> godina: promjena državnog ustroja, ratna razaranja, reorganizacija obrambenog sustava, tranzicija gospodarstva, gospodarske krize, proces depopulacije, potresi. Posljedica svih navedenih procesa je velik broj napuštenih zgrada i prostora (tzv. </w:t>
      </w:r>
      <w:r>
        <w:rPr>
          <w:rFonts w:ascii="Times New Roman" w:hAnsi="Times New Roman" w:cs="Times New Roman"/>
          <w:i/>
          <w:sz w:val="24"/>
          <w:szCs w:val="24"/>
        </w:rPr>
        <w:t>brownfield</w:t>
      </w:r>
      <w:r>
        <w:rPr>
          <w:rFonts w:ascii="Times New Roman" w:hAnsi="Times New Roman" w:cs="Times New Roman"/>
          <w:sz w:val="24"/>
          <w:szCs w:val="24"/>
        </w:rPr>
        <w:t>) koji su se prestali koristiti u svojoj izvornoj namjeni (građevinski objekti i pripadajuće zemljište, uključujući infrastrukturu, neovisno o prethodnoj namjeni) te također veliki broj zapuštenih, neodržavanih ili djelomično korištenih zgrada i prostora. Dio takvih prostora obilježava značajno onečišćenje tla, posebno na dijelovima prostora koje su zauzimala industrijska ili vojna postrojenja. Stoga će u tim slučajevima prije novog korištenja biti nužno sanirati tlo te otkloniti moguće štetne utjecaje pri budućem korištenju. U tom smislu važnu ulogu u inventarizaciji i valorizaciji napuštenih prostora i zgrada ima Registar brownfield područja u Republici Hrvatskoj</w:t>
      </w:r>
      <w:r>
        <w:rPr>
          <w:rStyle w:val="Referencafusnote"/>
          <w:rFonts w:ascii="Times New Roman" w:hAnsi="Times New Roman"/>
          <w:bCs/>
          <w:sz w:val="24"/>
        </w:rPr>
        <w:footnoteReference w:id="48"/>
      </w:r>
      <w:r>
        <w:rPr>
          <w:rFonts w:ascii="Times New Roman" w:hAnsi="Times New Roman" w:cs="Times New Roman"/>
          <w:sz w:val="24"/>
          <w:szCs w:val="24"/>
        </w:rPr>
        <w:t xml:space="preserve">, koji je razvijen kao modul unutar ISPU) </w:t>
      </w:r>
    </w:p>
    <w:p w14:paraId="45D058FE" w14:textId="77777777" w:rsidR="00496804" w:rsidRDefault="0037359D">
      <w:pPr>
        <w:pStyle w:val="tekst"/>
        <w:numPr>
          <w:ilvl w:val="0"/>
          <w:numId w:val="9"/>
        </w:numPr>
        <w:spacing w:line="240" w:lineRule="auto"/>
        <w:ind w:left="426" w:hanging="284"/>
        <w:rPr>
          <w:rFonts w:ascii="Times New Roman" w:hAnsi="Times New Roman" w:cs="Times New Roman"/>
          <w:b/>
          <w:bCs/>
          <w:sz w:val="24"/>
          <w:szCs w:val="24"/>
        </w:rPr>
      </w:pPr>
      <w:r>
        <w:rPr>
          <w:rFonts w:ascii="Times New Roman" w:hAnsi="Times New Roman" w:cs="Times New Roman"/>
          <w:bCs/>
          <w:sz w:val="24"/>
          <w:szCs w:val="24"/>
        </w:rPr>
        <w:t>Značajna starost i dotrajalost građevnog fonda</w:t>
      </w:r>
      <w:r>
        <w:rPr>
          <w:rFonts w:ascii="Times New Roman" w:hAnsi="Times New Roman" w:cs="Times New Roman"/>
          <w:b/>
          <w:bCs/>
          <w:sz w:val="24"/>
          <w:szCs w:val="24"/>
        </w:rPr>
        <w:t xml:space="preserve"> – </w:t>
      </w:r>
      <w:r>
        <w:rPr>
          <w:rFonts w:ascii="Times New Roman" w:hAnsi="Times New Roman" w:cs="Times New Roman"/>
          <w:sz w:val="24"/>
          <w:szCs w:val="24"/>
        </w:rPr>
        <w:t xml:space="preserve">pomanjkanje sustava kontinuiranog održavanja zgrada stambenog i nestambenog fonda kroz više desetljeća prouzrokovan nedostatkom financijskih sredstava rezultiralo je velikim brojem neodržavanih i zapuštenih zgrada i prostora. Stambeni fond je brojčano dominantan unutar područja ukupne izgradnje. Budući da se u Republici Hrvatskoj godišnje izgradi tek 1 do 2% novih zgrada, potencijal postojeće stambene izgradnje u postizanju ciljeva održivog razvoja je značajan. Za razliku od gradnje novih zgrada, obnovom postojećih zgrada štede se prostorni resursi, materijali i energija. </w:t>
      </w:r>
    </w:p>
    <w:p w14:paraId="45D058FF" w14:textId="534F4F68" w:rsidR="00496804" w:rsidRDefault="0037359D">
      <w:pPr>
        <w:pStyle w:val="tekst"/>
        <w:numPr>
          <w:ilvl w:val="0"/>
          <w:numId w:val="9"/>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Građevni otpad</w:t>
      </w:r>
      <w:r>
        <w:rPr>
          <w:rFonts w:ascii="Times New Roman" w:hAnsi="Times New Roman" w:cs="Times New Roman"/>
          <w:b/>
          <w:bCs/>
          <w:sz w:val="24"/>
          <w:szCs w:val="24"/>
        </w:rPr>
        <w:t xml:space="preserve"> – </w:t>
      </w:r>
      <w:r>
        <w:rPr>
          <w:rFonts w:ascii="Times New Roman" w:hAnsi="Times New Roman" w:cs="Times New Roman"/>
          <w:sz w:val="24"/>
          <w:szCs w:val="24"/>
        </w:rPr>
        <w:t>dosadašnja energetska obnova stambenih zgrada i javnih zgrada je pokrenula razrješavanje dotrajalih i neučinkovitih sustava ovojnice zgrada, grijanja i pripreme tople vode, rasvjete, uvođenje mehaničke ventilacije i upotrebe obnovljivih izvora energije. Potencijal zgrada za energetsku obnovu i dalje ostaje velik, a imajući u vidu lokalne specifičnosti</w:t>
      </w:r>
      <w:r w:rsidR="00E710A5">
        <w:rPr>
          <w:rFonts w:ascii="Times New Roman" w:hAnsi="Times New Roman" w:cs="Times New Roman"/>
          <w:sz w:val="24"/>
          <w:szCs w:val="24"/>
        </w:rPr>
        <w:t>,</w:t>
      </w:r>
      <w:r>
        <w:rPr>
          <w:rFonts w:ascii="Times New Roman" w:hAnsi="Times New Roman" w:cs="Times New Roman"/>
          <w:sz w:val="24"/>
          <w:szCs w:val="24"/>
        </w:rPr>
        <w:t xml:space="preserve"> mjere bi nadalje trebalo proširiti i na ukupno produženje c</w:t>
      </w:r>
      <w:r>
        <w:rPr>
          <w:rFonts w:ascii="Times New Roman" w:hAnsi="Times New Roman"/>
          <w:sz w:val="24"/>
          <w:szCs w:val="24"/>
        </w:rPr>
        <w:t>jeloživotnog</w:t>
      </w:r>
      <w:r>
        <w:rPr>
          <w:rFonts w:ascii="Times New Roman" w:hAnsi="Times New Roman" w:cs="Times New Roman"/>
          <w:sz w:val="24"/>
          <w:szCs w:val="24"/>
        </w:rPr>
        <w:t xml:space="preserve"> vijeka zgrada i poboljšanje njihove učinkovitosti u skladu s prijedlozima EZP</w:t>
      </w:r>
      <w:r w:rsidR="00E710A5">
        <w:rPr>
          <w:rFonts w:ascii="Times New Roman" w:hAnsi="Times New Roman" w:cs="Times New Roman"/>
          <w:sz w:val="24"/>
          <w:szCs w:val="24"/>
        </w:rPr>
        <w:t>-a</w:t>
      </w:r>
      <w:r>
        <w:rPr>
          <w:rFonts w:ascii="Times New Roman" w:hAnsi="Times New Roman" w:cs="Times New Roman"/>
          <w:sz w:val="24"/>
          <w:szCs w:val="24"/>
        </w:rPr>
        <w:t>. Takve mjere mogle bi podrazumijevati uklanjanje unutarnjih funkcionalnih nedostataka i dotrajalosti koji (uz ovojnicu i energetiku zgrade) utječu na troškove održavanja i efikasnost programa koji se odvijaju u tim prostorima i zgradama. Sve nužne mjere potrebno je detaljno sagledati prilikom definiranja ciljeva vezanih uz građevni otpad, a imajući u vidu i reviziju ciljeva oporabe za građevni otpad i otpad od rušenja kroz koju će EK obratiti posebnu pažnju na izolacijske materijale, čiji se tok otpada povećava.</w:t>
      </w:r>
    </w:p>
    <w:p w14:paraId="45D05900" w14:textId="77777777" w:rsidR="00496804" w:rsidRDefault="00496804">
      <w:pPr>
        <w:pStyle w:val="tekst"/>
        <w:spacing w:line="240" w:lineRule="auto"/>
        <w:ind w:left="360"/>
        <w:rPr>
          <w:rFonts w:ascii="Times New Roman" w:hAnsi="Times New Roman" w:cs="Times New Roman"/>
          <w:b/>
          <w:bCs/>
          <w:sz w:val="24"/>
          <w:szCs w:val="24"/>
        </w:rPr>
      </w:pPr>
    </w:p>
    <w:p w14:paraId="45D05901" w14:textId="00C1CA06" w:rsidR="00496804" w:rsidRDefault="0037359D">
      <w:pPr>
        <w:spacing w:line="240" w:lineRule="auto"/>
        <w:rPr>
          <w:rFonts w:ascii="Times New Roman" w:hAnsi="Times New Roman"/>
          <w:sz w:val="24"/>
        </w:rPr>
      </w:pPr>
      <w:r>
        <w:rPr>
          <w:rFonts w:ascii="Times New Roman" w:hAnsi="Times New Roman"/>
          <w:sz w:val="24"/>
        </w:rPr>
        <w:t>Izdvojenu temu kružnog gospodarenja prostorom i zgradama čine pojedinačno zaštićena kulturna dobra (pojedinačne građevine i graditeljski sklopovi) i zgrade koje se nalaze unutar zaštićene kulturno-povijesne cjeline. Republika Hrvatska danas u Registru zaštićenih kulturnih dobara ima oko 7</w:t>
      </w:r>
      <w:r w:rsidR="003816B2">
        <w:rPr>
          <w:rFonts w:ascii="Times New Roman" w:hAnsi="Times New Roman"/>
          <w:sz w:val="24"/>
        </w:rPr>
        <w:t>.</w:t>
      </w:r>
      <w:r>
        <w:rPr>
          <w:rFonts w:ascii="Times New Roman" w:hAnsi="Times New Roman"/>
          <w:sz w:val="24"/>
        </w:rPr>
        <w:t xml:space="preserve">100 upisa (broj se svakodnevno revidira), od toga </w:t>
      </w:r>
      <w:r w:rsidR="003816B2">
        <w:rPr>
          <w:rFonts w:ascii="Times New Roman" w:hAnsi="Times New Roman"/>
          <w:sz w:val="24"/>
        </w:rPr>
        <w:t>deset</w:t>
      </w:r>
      <w:r>
        <w:rPr>
          <w:rFonts w:ascii="Times New Roman" w:hAnsi="Times New Roman"/>
          <w:sz w:val="24"/>
        </w:rPr>
        <w:t xml:space="preserve"> nepokretnih kulturnih dobara upisanih na UNESCO-ov Popis svjetske kulturne baštine. Broj zaštićenih kulturnih dobara i cjelina kontinuirano raste, a nedostatak sredstava za njihovo održavanje trajno je prisutan. Posljedično</w:t>
      </w:r>
      <w:r w:rsidR="00974027">
        <w:rPr>
          <w:rFonts w:ascii="Times New Roman" w:hAnsi="Times New Roman"/>
          <w:sz w:val="24"/>
        </w:rPr>
        <w:t>,</w:t>
      </w:r>
      <w:r>
        <w:rPr>
          <w:rFonts w:ascii="Times New Roman" w:hAnsi="Times New Roman"/>
          <w:sz w:val="24"/>
        </w:rPr>
        <w:t xml:space="preserve"> njihov veliki broj </w:t>
      </w:r>
      <w:r>
        <w:rPr>
          <w:rFonts w:ascii="Times New Roman" w:hAnsi="Times New Roman"/>
          <w:sz w:val="24"/>
        </w:rPr>
        <w:lastRenderedPageBreak/>
        <w:t>ostaje napušten i izložen kontinuiranom propadanju. Istovremeno, rekonstrukcija i rehabilitacija zaštićenih kulturnih dobara i cjelina predstavlja izravni oblik kružnog gospodarenja prostorom i zgradama. Pitanjima obnove zaštićenih kulturnih dobara i cjelina potrebno je pristupiti s izrazitom pažnjom prema zadanim i zatečenim uvjetima i uz suradnju svih sudionika u gradnji. Zahtjevi primjene izvornih materijala, kao i suvremenih tehnologija, traže koordinirani i cjeloviti pristup koji je moguće zadovoljiti samo kroz navedenu suradnju.</w:t>
      </w:r>
    </w:p>
    <w:p w14:paraId="45D05902" w14:textId="77777777" w:rsidR="00496804" w:rsidRDefault="00496804">
      <w:pPr>
        <w:pStyle w:val="tekst"/>
        <w:spacing w:line="240" w:lineRule="auto"/>
        <w:rPr>
          <w:rFonts w:ascii="Times New Roman" w:hAnsi="Times New Roman" w:cs="Times New Roman"/>
          <w:sz w:val="24"/>
          <w:szCs w:val="24"/>
        </w:rPr>
      </w:pPr>
    </w:p>
    <w:p w14:paraId="45D05903" w14:textId="77777777" w:rsidR="00496804" w:rsidRDefault="00496804">
      <w:pPr>
        <w:spacing w:line="240" w:lineRule="auto"/>
        <w:jc w:val="left"/>
        <w:rPr>
          <w:rFonts w:ascii="Times New Roman" w:hAnsi="Times New Roman"/>
          <w:sz w:val="24"/>
          <w:lang w:eastAsia="hr-HR"/>
        </w:rPr>
      </w:pPr>
    </w:p>
    <w:p w14:paraId="45D05904" w14:textId="77777777" w:rsidR="00496804" w:rsidRDefault="0037359D">
      <w:pPr>
        <w:pStyle w:val="Naslov2"/>
        <w:ind w:left="426" w:hanging="426"/>
        <w:rPr>
          <w:rFonts w:ascii="Times New Roman" w:hAnsi="Times New Roman" w:cs="Times New Roman"/>
          <w:color w:val="auto"/>
          <w:sz w:val="24"/>
          <w:szCs w:val="24"/>
        </w:rPr>
      </w:pPr>
      <w:bookmarkStart w:id="53" w:name="_Toc51851632"/>
      <w:bookmarkStart w:id="54" w:name="_Toc37155498"/>
      <w:r>
        <w:rPr>
          <w:rFonts w:ascii="Times New Roman" w:hAnsi="Times New Roman" w:cs="Times New Roman"/>
          <w:color w:val="auto"/>
          <w:sz w:val="24"/>
          <w:szCs w:val="24"/>
        </w:rPr>
        <w:t>PREGLED NACIONALNOG FONDA ZGRADA</w:t>
      </w:r>
      <w:bookmarkEnd w:id="53"/>
      <w:bookmarkEnd w:id="54"/>
    </w:p>
    <w:p w14:paraId="45D05905" w14:textId="77777777" w:rsidR="00496804" w:rsidRDefault="00496804">
      <w:pPr>
        <w:spacing w:line="240" w:lineRule="auto"/>
        <w:rPr>
          <w:rFonts w:ascii="Times New Roman" w:hAnsi="Times New Roman"/>
          <w:sz w:val="24"/>
          <w:lang w:eastAsia="hr-HR"/>
        </w:rPr>
      </w:pPr>
    </w:p>
    <w:p w14:paraId="45D05906" w14:textId="77777777" w:rsidR="00496804" w:rsidRDefault="0037359D">
      <w:pPr>
        <w:spacing w:line="240" w:lineRule="auto"/>
        <w:rPr>
          <w:rFonts w:ascii="Times New Roman" w:hAnsi="Times New Roman"/>
          <w:sz w:val="24"/>
        </w:rPr>
      </w:pPr>
      <w:r>
        <w:rPr>
          <w:rFonts w:ascii="Times New Roman" w:hAnsi="Times New Roman"/>
          <w:sz w:val="24"/>
        </w:rPr>
        <w:t>Dugoročna strategija za poticanje ulaganja u obnovu nacionalnog fonda zgrada Republike Hrvatske daje pregled nacionalnog fonda zgrada i projekciju kretanja fonda zgrada do 2050. godine.</w:t>
      </w:r>
    </w:p>
    <w:p w14:paraId="45D05907"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Očekivana ukupna površina nestambenih zgrada u 2050. godini iznosi 15 m²/stanovniku odnosno 66.732.712 m² bruto površine s omjerom bruto površine u odnosu na neto grijanu površinu 1,35/1, odnosno 49.431.639 m² grijane površine zgrada. </w:t>
      </w:r>
    </w:p>
    <w:p w14:paraId="45D05909" w14:textId="77777777" w:rsidR="00496804" w:rsidRDefault="00496804">
      <w:pPr>
        <w:tabs>
          <w:tab w:val="left" w:pos="431"/>
        </w:tabs>
        <w:spacing w:line="240" w:lineRule="auto"/>
        <w:ind w:left="3"/>
        <w:rPr>
          <w:rFonts w:ascii="Times New Roman" w:hAnsi="Times New Roman"/>
          <w:sz w:val="24"/>
        </w:rPr>
      </w:pPr>
    </w:p>
    <w:p w14:paraId="45D0590A"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3. Projekcija ukupne površine stambenih zgrada u 2030., 2040. i 2050. godini u 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189"/>
        <w:gridCol w:w="2190"/>
        <w:gridCol w:w="2182"/>
      </w:tblGrid>
      <w:tr w:rsidR="00496804" w14:paraId="45D0590F" w14:textId="77777777">
        <w:trPr>
          <w:trHeight w:val="288"/>
        </w:trPr>
        <w:tc>
          <w:tcPr>
            <w:tcW w:w="3061" w:type="dxa"/>
            <w:shd w:val="clear" w:color="auto" w:fill="FFCCA6" w:themeFill="accent5" w:themeFillTint="66"/>
            <w:noWrap/>
            <w:vAlign w:val="bottom"/>
          </w:tcPr>
          <w:p w14:paraId="45D0590B" w14:textId="77777777" w:rsidR="00496804" w:rsidRDefault="00496804">
            <w:pPr>
              <w:spacing w:line="240" w:lineRule="auto"/>
              <w:jc w:val="left"/>
              <w:rPr>
                <w:rFonts w:ascii="Times New Roman" w:hAnsi="Times New Roman"/>
                <w:b/>
                <w:bCs/>
                <w:sz w:val="24"/>
                <w:lang w:eastAsia="hr-HR"/>
              </w:rPr>
            </w:pPr>
          </w:p>
        </w:tc>
        <w:tc>
          <w:tcPr>
            <w:tcW w:w="2189" w:type="dxa"/>
            <w:shd w:val="clear" w:color="auto" w:fill="FFCCA6" w:themeFill="accent5" w:themeFillTint="66"/>
            <w:noWrap/>
            <w:vAlign w:val="bottom"/>
          </w:tcPr>
          <w:p w14:paraId="45D0590C"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2030.</w:t>
            </w:r>
          </w:p>
        </w:tc>
        <w:tc>
          <w:tcPr>
            <w:tcW w:w="2190" w:type="dxa"/>
            <w:shd w:val="clear" w:color="auto" w:fill="FFCCA6" w:themeFill="accent5" w:themeFillTint="66"/>
            <w:noWrap/>
            <w:vAlign w:val="bottom"/>
          </w:tcPr>
          <w:p w14:paraId="45D0590D"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2040.</w:t>
            </w:r>
          </w:p>
        </w:tc>
        <w:tc>
          <w:tcPr>
            <w:tcW w:w="2182" w:type="dxa"/>
            <w:shd w:val="clear" w:color="auto" w:fill="FFCCA6" w:themeFill="accent5" w:themeFillTint="66"/>
            <w:noWrap/>
            <w:vAlign w:val="bottom"/>
          </w:tcPr>
          <w:p w14:paraId="45D0590E"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2050.</w:t>
            </w:r>
          </w:p>
        </w:tc>
      </w:tr>
      <w:tr w:rsidR="00496804" w14:paraId="45D05914" w14:textId="77777777">
        <w:trPr>
          <w:trHeight w:val="288"/>
        </w:trPr>
        <w:tc>
          <w:tcPr>
            <w:tcW w:w="3061" w:type="dxa"/>
            <w:shd w:val="clear" w:color="auto" w:fill="FFCCA6" w:themeFill="accent5" w:themeFillTint="66"/>
            <w:noWrap/>
            <w:vAlign w:val="bottom"/>
          </w:tcPr>
          <w:p w14:paraId="45D0591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višestambene</w:t>
            </w:r>
          </w:p>
        </w:tc>
        <w:tc>
          <w:tcPr>
            <w:tcW w:w="2189" w:type="dxa"/>
            <w:noWrap/>
            <w:vAlign w:val="bottom"/>
          </w:tcPr>
          <w:p w14:paraId="45D0591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64.160.346</w:t>
            </w:r>
          </w:p>
        </w:tc>
        <w:tc>
          <w:tcPr>
            <w:tcW w:w="2190" w:type="dxa"/>
            <w:noWrap/>
            <w:vAlign w:val="bottom"/>
          </w:tcPr>
          <w:p w14:paraId="45D0591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68.605.285</w:t>
            </w:r>
          </w:p>
        </w:tc>
        <w:tc>
          <w:tcPr>
            <w:tcW w:w="2182" w:type="dxa"/>
            <w:noWrap/>
            <w:vAlign w:val="bottom"/>
          </w:tcPr>
          <w:p w14:paraId="45D0591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73.180.074</w:t>
            </w:r>
          </w:p>
        </w:tc>
      </w:tr>
      <w:tr w:rsidR="00496804" w14:paraId="45D05919" w14:textId="77777777">
        <w:trPr>
          <w:trHeight w:val="288"/>
        </w:trPr>
        <w:tc>
          <w:tcPr>
            <w:tcW w:w="3061" w:type="dxa"/>
            <w:shd w:val="clear" w:color="auto" w:fill="FFCCA6" w:themeFill="accent5" w:themeFillTint="66"/>
            <w:noWrap/>
            <w:vAlign w:val="bottom"/>
          </w:tcPr>
          <w:p w14:paraId="45D0591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obiteljske</w:t>
            </w:r>
          </w:p>
        </w:tc>
        <w:tc>
          <w:tcPr>
            <w:tcW w:w="2189" w:type="dxa"/>
            <w:noWrap/>
            <w:vAlign w:val="bottom"/>
          </w:tcPr>
          <w:p w14:paraId="45D0591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103.288.933</w:t>
            </w:r>
          </w:p>
        </w:tc>
        <w:tc>
          <w:tcPr>
            <w:tcW w:w="2190" w:type="dxa"/>
            <w:noWrap/>
            <w:vAlign w:val="bottom"/>
          </w:tcPr>
          <w:p w14:paraId="45D0591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110.444.645</w:t>
            </w:r>
          </w:p>
        </w:tc>
        <w:tc>
          <w:tcPr>
            <w:tcW w:w="2182" w:type="dxa"/>
            <w:noWrap/>
            <w:vAlign w:val="bottom"/>
          </w:tcPr>
          <w:p w14:paraId="45D0591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117.809.397</w:t>
            </w:r>
          </w:p>
        </w:tc>
      </w:tr>
      <w:tr w:rsidR="00496804" w14:paraId="45D0591E" w14:textId="77777777">
        <w:trPr>
          <w:trHeight w:val="288"/>
        </w:trPr>
        <w:tc>
          <w:tcPr>
            <w:tcW w:w="3061" w:type="dxa"/>
            <w:shd w:val="clear" w:color="auto" w:fill="FFCCA6" w:themeFill="accent5" w:themeFillTint="66"/>
            <w:noWrap/>
            <w:vAlign w:val="bottom"/>
          </w:tcPr>
          <w:p w14:paraId="45D0591A"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stambene ukupno</w:t>
            </w:r>
          </w:p>
        </w:tc>
        <w:tc>
          <w:tcPr>
            <w:tcW w:w="2189" w:type="dxa"/>
            <w:noWrap/>
            <w:vAlign w:val="bottom"/>
          </w:tcPr>
          <w:p w14:paraId="45D0591B"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166.272.175</w:t>
            </w:r>
          </w:p>
        </w:tc>
        <w:tc>
          <w:tcPr>
            <w:tcW w:w="2190" w:type="dxa"/>
            <w:noWrap/>
            <w:vAlign w:val="bottom"/>
          </w:tcPr>
          <w:p w14:paraId="45D0591C"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177.791.278</w:t>
            </w:r>
          </w:p>
        </w:tc>
        <w:tc>
          <w:tcPr>
            <w:tcW w:w="2182" w:type="dxa"/>
            <w:noWrap/>
            <w:vAlign w:val="bottom"/>
          </w:tcPr>
          <w:p w14:paraId="45D0591D"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189.646.889</w:t>
            </w:r>
          </w:p>
        </w:tc>
      </w:tr>
    </w:tbl>
    <w:p w14:paraId="45D0591F" w14:textId="77777777" w:rsidR="00496804" w:rsidRDefault="00496804">
      <w:pPr>
        <w:tabs>
          <w:tab w:val="left" w:pos="431"/>
        </w:tabs>
        <w:spacing w:line="240" w:lineRule="auto"/>
        <w:ind w:left="3"/>
        <w:rPr>
          <w:rFonts w:ascii="Times New Roman" w:hAnsi="Times New Roman"/>
          <w:sz w:val="24"/>
          <w:lang w:eastAsia="de-DE"/>
        </w:rPr>
      </w:pPr>
    </w:p>
    <w:p w14:paraId="45D05922" w14:textId="77777777" w:rsidR="00496804" w:rsidRDefault="0037359D">
      <w:pPr>
        <w:rPr>
          <w:rFonts w:ascii="Times New Roman" w:hAnsi="Times New Roman"/>
          <w:i/>
          <w:iCs/>
          <w:sz w:val="24"/>
        </w:rPr>
      </w:pPr>
      <w:r>
        <w:rPr>
          <w:rFonts w:ascii="Times New Roman" w:hAnsi="Times New Roman"/>
          <w:i/>
          <w:iCs/>
          <w:sz w:val="24"/>
        </w:rPr>
        <w:t>Tablica 4. Projekcija površine nestambenih zgrada u 2030., 2040. i 2050. godini u m²</w:t>
      </w:r>
    </w:p>
    <w:tbl>
      <w:tblPr>
        <w:tblStyle w:val="Reetkatablice1"/>
        <w:tblW w:w="5000" w:type="pct"/>
        <w:tblLook w:val="04A0" w:firstRow="1" w:lastRow="0" w:firstColumn="1" w:lastColumn="0" w:noHBand="0" w:noVBand="1"/>
      </w:tblPr>
      <w:tblGrid>
        <w:gridCol w:w="3118"/>
        <w:gridCol w:w="2168"/>
        <w:gridCol w:w="2168"/>
        <w:gridCol w:w="2168"/>
      </w:tblGrid>
      <w:tr w:rsidR="00496804" w14:paraId="45D05927" w14:textId="77777777">
        <w:trPr>
          <w:trHeight w:val="288"/>
          <w:tblHeader/>
        </w:trPr>
        <w:tc>
          <w:tcPr>
            <w:tcW w:w="3029" w:type="dxa"/>
            <w:shd w:val="clear" w:color="auto" w:fill="FFCCA6" w:themeFill="accent5" w:themeFillTint="66"/>
            <w:noWrap/>
          </w:tcPr>
          <w:p w14:paraId="45D05923" w14:textId="77777777" w:rsidR="00496804" w:rsidRDefault="00496804">
            <w:pPr>
              <w:tabs>
                <w:tab w:val="left" w:pos="431"/>
              </w:tabs>
              <w:spacing w:line="240" w:lineRule="auto"/>
              <w:ind w:left="3"/>
              <w:rPr>
                <w:rFonts w:ascii="Times New Roman" w:hAnsi="Times New Roman"/>
                <w:sz w:val="24"/>
                <w:lang w:eastAsia="de-DE"/>
              </w:rPr>
            </w:pPr>
          </w:p>
        </w:tc>
        <w:tc>
          <w:tcPr>
            <w:tcW w:w="2105" w:type="dxa"/>
            <w:shd w:val="clear" w:color="auto" w:fill="FFCCA6" w:themeFill="accent5" w:themeFillTint="66"/>
            <w:noWrap/>
          </w:tcPr>
          <w:p w14:paraId="45D05924"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2030.</w:t>
            </w:r>
          </w:p>
        </w:tc>
        <w:tc>
          <w:tcPr>
            <w:tcW w:w="2105" w:type="dxa"/>
            <w:shd w:val="clear" w:color="auto" w:fill="FFCCA6" w:themeFill="accent5" w:themeFillTint="66"/>
            <w:noWrap/>
          </w:tcPr>
          <w:p w14:paraId="45D05925"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2040.</w:t>
            </w:r>
          </w:p>
        </w:tc>
        <w:tc>
          <w:tcPr>
            <w:tcW w:w="2105" w:type="dxa"/>
            <w:shd w:val="clear" w:color="auto" w:fill="FFCCA6" w:themeFill="accent5" w:themeFillTint="66"/>
            <w:noWrap/>
          </w:tcPr>
          <w:p w14:paraId="45D05926"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2050.</w:t>
            </w:r>
          </w:p>
        </w:tc>
      </w:tr>
      <w:tr w:rsidR="00496804" w14:paraId="45D0592C" w14:textId="77777777">
        <w:trPr>
          <w:trHeight w:val="288"/>
        </w:trPr>
        <w:tc>
          <w:tcPr>
            <w:tcW w:w="3029" w:type="dxa"/>
            <w:shd w:val="clear" w:color="auto" w:fill="FFCCA6" w:themeFill="accent5" w:themeFillTint="66"/>
            <w:noWrap/>
          </w:tcPr>
          <w:p w14:paraId="45D05928"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uredska</w:t>
            </w:r>
          </w:p>
        </w:tc>
        <w:tc>
          <w:tcPr>
            <w:tcW w:w="2105" w:type="dxa"/>
            <w:noWrap/>
          </w:tcPr>
          <w:p w14:paraId="45D0592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10.309.712</w:t>
            </w:r>
          </w:p>
        </w:tc>
        <w:tc>
          <w:tcPr>
            <w:tcW w:w="2105" w:type="dxa"/>
            <w:noWrap/>
          </w:tcPr>
          <w:p w14:paraId="45D0592A"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10.831.614</w:t>
            </w:r>
          </w:p>
        </w:tc>
        <w:tc>
          <w:tcPr>
            <w:tcW w:w="2105" w:type="dxa"/>
            <w:noWrap/>
          </w:tcPr>
          <w:p w14:paraId="45D0592B"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11.082.926</w:t>
            </w:r>
          </w:p>
        </w:tc>
      </w:tr>
      <w:tr w:rsidR="00496804" w14:paraId="45D05931" w14:textId="77777777">
        <w:trPr>
          <w:trHeight w:val="288"/>
        </w:trPr>
        <w:tc>
          <w:tcPr>
            <w:tcW w:w="3029" w:type="dxa"/>
            <w:shd w:val="clear" w:color="auto" w:fill="FFCCA6" w:themeFill="accent5" w:themeFillTint="66"/>
            <w:noWrap/>
          </w:tcPr>
          <w:p w14:paraId="45D0592D"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obrazovne</w:t>
            </w:r>
          </w:p>
        </w:tc>
        <w:tc>
          <w:tcPr>
            <w:tcW w:w="2105" w:type="dxa"/>
            <w:noWrap/>
          </w:tcPr>
          <w:p w14:paraId="45D0592E"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6.236.465</w:t>
            </w:r>
          </w:p>
        </w:tc>
        <w:tc>
          <w:tcPr>
            <w:tcW w:w="2105" w:type="dxa"/>
            <w:noWrap/>
          </w:tcPr>
          <w:p w14:paraId="45D0592F"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6.552.169</w:t>
            </w:r>
          </w:p>
        </w:tc>
        <w:tc>
          <w:tcPr>
            <w:tcW w:w="2105" w:type="dxa"/>
            <w:noWrap/>
          </w:tcPr>
          <w:p w14:paraId="45D05930"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6.704.190</w:t>
            </w:r>
          </w:p>
        </w:tc>
      </w:tr>
      <w:tr w:rsidR="00496804" w14:paraId="45D05936" w14:textId="77777777">
        <w:trPr>
          <w:trHeight w:val="288"/>
        </w:trPr>
        <w:tc>
          <w:tcPr>
            <w:tcW w:w="3029" w:type="dxa"/>
            <w:shd w:val="clear" w:color="auto" w:fill="FFCCA6" w:themeFill="accent5" w:themeFillTint="66"/>
            <w:noWrap/>
          </w:tcPr>
          <w:p w14:paraId="45D05932"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hoteli i restorani</w:t>
            </w:r>
          </w:p>
        </w:tc>
        <w:tc>
          <w:tcPr>
            <w:tcW w:w="2105" w:type="dxa"/>
            <w:noWrap/>
          </w:tcPr>
          <w:p w14:paraId="45D05933"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4.650.511</w:t>
            </w:r>
          </w:p>
        </w:tc>
        <w:tc>
          <w:tcPr>
            <w:tcW w:w="2105" w:type="dxa"/>
            <w:noWrap/>
          </w:tcPr>
          <w:p w14:paraId="45D05934"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4.885.930</w:t>
            </w:r>
          </w:p>
        </w:tc>
        <w:tc>
          <w:tcPr>
            <w:tcW w:w="2105" w:type="dxa"/>
            <w:noWrap/>
          </w:tcPr>
          <w:p w14:paraId="45D05935"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4.999.292</w:t>
            </w:r>
          </w:p>
        </w:tc>
      </w:tr>
      <w:tr w:rsidR="00496804" w14:paraId="45D0593B" w14:textId="77777777">
        <w:trPr>
          <w:trHeight w:val="288"/>
        </w:trPr>
        <w:tc>
          <w:tcPr>
            <w:tcW w:w="3029" w:type="dxa"/>
            <w:shd w:val="clear" w:color="auto" w:fill="FFCCA6" w:themeFill="accent5" w:themeFillTint="66"/>
            <w:noWrap/>
          </w:tcPr>
          <w:p w14:paraId="45D05937"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bolnice</w:t>
            </w:r>
          </w:p>
        </w:tc>
        <w:tc>
          <w:tcPr>
            <w:tcW w:w="2105" w:type="dxa"/>
            <w:noWrap/>
          </w:tcPr>
          <w:p w14:paraId="45D05938"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3.280.271</w:t>
            </w:r>
          </w:p>
        </w:tc>
        <w:tc>
          <w:tcPr>
            <w:tcW w:w="2105" w:type="dxa"/>
            <w:noWrap/>
          </w:tcPr>
          <w:p w14:paraId="45D0593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3.446.326</w:t>
            </w:r>
          </w:p>
        </w:tc>
        <w:tc>
          <w:tcPr>
            <w:tcW w:w="2105" w:type="dxa"/>
            <w:noWrap/>
          </w:tcPr>
          <w:p w14:paraId="45D0593A"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3.526.286</w:t>
            </w:r>
          </w:p>
        </w:tc>
      </w:tr>
      <w:tr w:rsidR="00496804" w14:paraId="45D05940" w14:textId="77777777">
        <w:trPr>
          <w:trHeight w:val="288"/>
        </w:trPr>
        <w:tc>
          <w:tcPr>
            <w:tcW w:w="3029" w:type="dxa"/>
            <w:shd w:val="clear" w:color="auto" w:fill="FFCCA6" w:themeFill="accent5" w:themeFillTint="66"/>
            <w:noWrap/>
          </w:tcPr>
          <w:p w14:paraId="45D0593C"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sportske dvorane</w:t>
            </w:r>
          </w:p>
        </w:tc>
        <w:tc>
          <w:tcPr>
            <w:tcW w:w="2105" w:type="dxa"/>
            <w:noWrap/>
          </w:tcPr>
          <w:p w14:paraId="45D0593D"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462.823</w:t>
            </w:r>
          </w:p>
        </w:tc>
        <w:tc>
          <w:tcPr>
            <w:tcW w:w="2105" w:type="dxa"/>
            <w:noWrap/>
          </w:tcPr>
          <w:p w14:paraId="45D0593E"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486.252</w:t>
            </w:r>
          </w:p>
        </w:tc>
        <w:tc>
          <w:tcPr>
            <w:tcW w:w="2105" w:type="dxa"/>
            <w:noWrap/>
          </w:tcPr>
          <w:p w14:paraId="45D0593F"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497.534</w:t>
            </w:r>
          </w:p>
        </w:tc>
      </w:tr>
      <w:tr w:rsidR="00496804" w14:paraId="45D05945" w14:textId="77777777">
        <w:trPr>
          <w:trHeight w:val="288"/>
        </w:trPr>
        <w:tc>
          <w:tcPr>
            <w:tcW w:w="3029" w:type="dxa"/>
            <w:shd w:val="clear" w:color="auto" w:fill="FFCCA6" w:themeFill="accent5" w:themeFillTint="66"/>
            <w:noWrap/>
          </w:tcPr>
          <w:p w14:paraId="45D05941"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trgovina</w:t>
            </w:r>
          </w:p>
        </w:tc>
        <w:tc>
          <w:tcPr>
            <w:tcW w:w="2105" w:type="dxa"/>
            <w:noWrap/>
          </w:tcPr>
          <w:p w14:paraId="45D05942"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12.833.465</w:t>
            </w:r>
          </w:p>
        </w:tc>
        <w:tc>
          <w:tcPr>
            <w:tcW w:w="2105" w:type="dxa"/>
            <w:noWrap/>
          </w:tcPr>
          <w:p w14:paraId="45D05943"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13.483.125</w:t>
            </w:r>
          </w:p>
        </w:tc>
        <w:tc>
          <w:tcPr>
            <w:tcW w:w="2105" w:type="dxa"/>
            <w:noWrap/>
          </w:tcPr>
          <w:p w14:paraId="45D05944"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13.795.956</w:t>
            </w:r>
          </w:p>
        </w:tc>
      </w:tr>
      <w:tr w:rsidR="00496804" w14:paraId="45D0594A" w14:textId="77777777">
        <w:trPr>
          <w:trHeight w:val="288"/>
        </w:trPr>
        <w:tc>
          <w:tcPr>
            <w:tcW w:w="3029" w:type="dxa"/>
            <w:shd w:val="clear" w:color="auto" w:fill="FFCCA6" w:themeFill="accent5" w:themeFillTint="66"/>
            <w:noWrap/>
          </w:tcPr>
          <w:p w14:paraId="45D05946"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ostalo</w:t>
            </w:r>
          </w:p>
        </w:tc>
        <w:tc>
          <w:tcPr>
            <w:tcW w:w="2105" w:type="dxa"/>
            <w:noWrap/>
          </w:tcPr>
          <w:p w14:paraId="45D05947"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24.303.780</w:t>
            </w:r>
          </w:p>
        </w:tc>
        <w:tc>
          <w:tcPr>
            <w:tcW w:w="2105" w:type="dxa"/>
            <w:noWrap/>
          </w:tcPr>
          <w:p w14:paraId="45D05948"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25.534.093</w:t>
            </w:r>
          </w:p>
        </w:tc>
        <w:tc>
          <w:tcPr>
            <w:tcW w:w="2105" w:type="dxa"/>
            <w:noWrap/>
          </w:tcPr>
          <w:p w14:paraId="45D0594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26.126.528</w:t>
            </w:r>
          </w:p>
        </w:tc>
      </w:tr>
      <w:tr w:rsidR="00496804" w14:paraId="45D0594F" w14:textId="77777777">
        <w:trPr>
          <w:trHeight w:val="288"/>
        </w:trPr>
        <w:tc>
          <w:tcPr>
            <w:tcW w:w="3029" w:type="dxa"/>
            <w:shd w:val="clear" w:color="auto" w:fill="FFCCA6" w:themeFill="accent5" w:themeFillTint="66"/>
            <w:noWrap/>
          </w:tcPr>
          <w:p w14:paraId="45D0594B" w14:textId="77777777" w:rsidR="00496804" w:rsidRDefault="0037359D">
            <w:pPr>
              <w:tabs>
                <w:tab w:val="left" w:pos="431"/>
              </w:tabs>
              <w:spacing w:line="240" w:lineRule="auto"/>
              <w:ind w:left="3"/>
              <w:rPr>
                <w:rFonts w:ascii="Times New Roman" w:hAnsi="Times New Roman"/>
                <w:b/>
                <w:bCs/>
                <w:sz w:val="24"/>
                <w:lang w:eastAsia="de-DE"/>
              </w:rPr>
            </w:pPr>
            <w:r>
              <w:rPr>
                <w:rFonts w:ascii="Times New Roman" w:hAnsi="Times New Roman"/>
                <w:b/>
                <w:bCs/>
                <w:sz w:val="24"/>
                <w:lang w:eastAsia="de-DE"/>
              </w:rPr>
              <w:t>nestambene ukupno</w:t>
            </w:r>
          </w:p>
        </w:tc>
        <w:tc>
          <w:tcPr>
            <w:tcW w:w="2105" w:type="dxa"/>
            <w:noWrap/>
          </w:tcPr>
          <w:p w14:paraId="45D0594C"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62.077.026</w:t>
            </w:r>
          </w:p>
        </w:tc>
        <w:tc>
          <w:tcPr>
            <w:tcW w:w="2105" w:type="dxa"/>
            <w:noWrap/>
          </w:tcPr>
          <w:p w14:paraId="45D0594D"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65.219.509</w:t>
            </w:r>
          </w:p>
        </w:tc>
        <w:tc>
          <w:tcPr>
            <w:tcW w:w="2105" w:type="dxa"/>
            <w:noWrap/>
          </w:tcPr>
          <w:p w14:paraId="45D0594E" w14:textId="77777777" w:rsidR="00496804" w:rsidRDefault="0037359D">
            <w:pPr>
              <w:keepNext/>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66.732.712</w:t>
            </w:r>
          </w:p>
        </w:tc>
      </w:tr>
    </w:tbl>
    <w:p w14:paraId="45D05950" w14:textId="77777777" w:rsidR="00496804" w:rsidRDefault="00496804">
      <w:pPr>
        <w:tabs>
          <w:tab w:val="left" w:pos="431"/>
        </w:tabs>
        <w:spacing w:line="240" w:lineRule="auto"/>
        <w:ind w:left="3"/>
        <w:rPr>
          <w:rFonts w:ascii="Times New Roman" w:hAnsi="Times New Roman"/>
          <w:sz w:val="24"/>
          <w:highlight w:val="yellow"/>
          <w:lang w:eastAsia="hr-HR"/>
        </w:rPr>
      </w:pPr>
    </w:p>
    <w:p w14:paraId="45D05951"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Intenzitet obnove zgrada, bez politika koje usmjeravaju investicije prema obnovi i očuvanju postojećeg fonda zgrada, je u pravilu nizak. Inicijalni motiv gradnje je zadovoljavanje neposredne i očekivane potrebe za  stambenim ili poslovnim prostorom, što usmjerava investiciju na gradnju novih zgrada. Tek aktivnim usmjeravanjem investicija na povećanje stope obnove zgrada, moguće je utjecati na intenzitet obnove zgrada i odnos novogradnje u odnosu na rekonstrukciju zgrada. Obnova zgrada formalno obuhvaća zgrade koje se rekonstruiraju i/ili energetski obnavljaju te zgrade koje se grade na lokacijama postojećih zgrada zbog kojih se postojeće zgrade uklanjaju (zamjenska gradnja). Zamjenske zgrade u pogledu praćenja stope obnove je teško identificirati jer u pravilu dolazi do promjene namjene i veličine zgrada. </w:t>
      </w:r>
    </w:p>
    <w:p w14:paraId="45D05952" w14:textId="77777777" w:rsidR="00496804" w:rsidRDefault="00496804">
      <w:pPr>
        <w:tabs>
          <w:tab w:val="left" w:pos="431"/>
        </w:tabs>
        <w:spacing w:line="240" w:lineRule="auto"/>
        <w:ind w:left="3"/>
        <w:rPr>
          <w:rFonts w:ascii="Times New Roman" w:hAnsi="Times New Roman"/>
          <w:sz w:val="24"/>
        </w:rPr>
      </w:pPr>
    </w:p>
    <w:p w14:paraId="45D05953"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U analizi strukture fonda uveden je pojam demolacije (napuštanja) fonda, kojim se određuje postotak fonda koji izlazi iz upotrebe, bilo rušenjem, privremenim napuštanjem ili neregistriranim napuštanjem zgrada koje su formalno još uvijek u funkciji. Stopa demolacije je veća od registriranog rušenja i prenamjene, kroz statističke podatke u građevinarstvu pokazuje udio stvarno srušenih, privremeno napuštenih i napuštenih zgrada u odnosu na veličinu fonda novogradnje. Demolaciju je zbog prirode podatka – način korištenja – teško pratiti uobičajenim metodama. Fizička demolacija </w:t>
      </w:r>
      <w:r>
        <w:rPr>
          <w:rFonts w:ascii="Times New Roman" w:hAnsi="Times New Roman"/>
          <w:sz w:val="24"/>
        </w:rPr>
        <w:lastRenderedPageBreak/>
        <w:t xml:space="preserve">(rušenje zgrada) prati se kroz statističku informaciju o srušenim zgradama, dok je funkcionalna demolacija uslijed napuštanja zgrada dohvatljiva na razini popisa stanovništva. </w:t>
      </w:r>
    </w:p>
    <w:p w14:paraId="45D05955"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Očekivana stopa demolacije u RH je izuzetno visoka te u modelu predviđanja budućeg fonda zgrada do 2050. godine iznosi 40% do 2025., 50% do 2030. i 60% do 2050. godine, što iznosi 5.797.137 m² do 2030. godine, 7.255.439 m² do 2040. te 7.113.045 m² do 2050. godine. Iskazane površine demolacije fonda zgrada predstavljaju potencijal za projekte kružnog gospodarenja prostorom i zgradama.</w:t>
      </w:r>
    </w:p>
    <w:p w14:paraId="45D05956" w14:textId="77777777" w:rsidR="00496804" w:rsidRDefault="00496804">
      <w:pPr>
        <w:spacing w:line="240" w:lineRule="auto"/>
        <w:jc w:val="left"/>
        <w:rPr>
          <w:rFonts w:ascii="Times New Roman" w:hAnsi="Times New Roman"/>
          <w:sz w:val="24"/>
        </w:rPr>
      </w:pPr>
    </w:p>
    <w:p w14:paraId="45D05957"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5. Ukupna očekivana površina zgrada koje se obnavljaju do 2050. godine u 2030., 2040. i 2050. u 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189"/>
        <w:gridCol w:w="2190"/>
        <w:gridCol w:w="2182"/>
      </w:tblGrid>
      <w:tr w:rsidR="00496804" w14:paraId="45D0595C" w14:textId="77777777">
        <w:trPr>
          <w:trHeight w:val="288"/>
        </w:trPr>
        <w:tc>
          <w:tcPr>
            <w:tcW w:w="3061" w:type="dxa"/>
            <w:shd w:val="clear" w:color="auto" w:fill="FFCCA6" w:themeFill="accent5" w:themeFillTint="66"/>
            <w:noWrap/>
            <w:vAlign w:val="bottom"/>
          </w:tcPr>
          <w:p w14:paraId="45D05958" w14:textId="77777777" w:rsidR="00496804" w:rsidRDefault="00496804">
            <w:pPr>
              <w:spacing w:line="240" w:lineRule="auto"/>
              <w:jc w:val="left"/>
              <w:rPr>
                <w:rFonts w:ascii="Times New Roman" w:hAnsi="Times New Roman"/>
                <w:b/>
                <w:bCs/>
                <w:sz w:val="24"/>
                <w:lang w:eastAsia="hr-HR"/>
              </w:rPr>
            </w:pPr>
          </w:p>
        </w:tc>
        <w:tc>
          <w:tcPr>
            <w:tcW w:w="2189" w:type="dxa"/>
            <w:shd w:val="clear" w:color="auto" w:fill="FFCCA6" w:themeFill="accent5" w:themeFillTint="66"/>
            <w:noWrap/>
            <w:vAlign w:val="bottom"/>
          </w:tcPr>
          <w:p w14:paraId="45D05959"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2030.</w:t>
            </w:r>
          </w:p>
        </w:tc>
        <w:tc>
          <w:tcPr>
            <w:tcW w:w="2190" w:type="dxa"/>
            <w:shd w:val="clear" w:color="auto" w:fill="FFCCA6" w:themeFill="accent5" w:themeFillTint="66"/>
            <w:noWrap/>
            <w:vAlign w:val="bottom"/>
          </w:tcPr>
          <w:p w14:paraId="45D0595A"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2040.</w:t>
            </w:r>
          </w:p>
        </w:tc>
        <w:tc>
          <w:tcPr>
            <w:tcW w:w="2182" w:type="dxa"/>
            <w:shd w:val="clear" w:color="auto" w:fill="FFCCA6" w:themeFill="accent5" w:themeFillTint="66"/>
            <w:noWrap/>
            <w:vAlign w:val="bottom"/>
          </w:tcPr>
          <w:p w14:paraId="45D0595B"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2050.</w:t>
            </w:r>
          </w:p>
        </w:tc>
      </w:tr>
      <w:tr w:rsidR="00496804" w14:paraId="45D05961" w14:textId="77777777">
        <w:trPr>
          <w:trHeight w:val="253"/>
        </w:trPr>
        <w:tc>
          <w:tcPr>
            <w:tcW w:w="3061" w:type="dxa"/>
            <w:shd w:val="clear" w:color="auto" w:fill="FFCCA6" w:themeFill="accent5" w:themeFillTint="66"/>
            <w:noWrap/>
            <w:vAlign w:val="bottom"/>
          </w:tcPr>
          <w:p w14:paraId="45D0595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obnova stambenih zgrada</w:t>
            </w:r>
          </w:p>
        </w:tc>
        <w:tc>
          <w:tcPr>
            <w:tcW w:w="2189" w:type="dxa"/>
            <w:noWrap/>
            <w:vAlign w:val="center"/>
          </w:tcPr>
          <w:p w14:paraId="45D0595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8,71 mil. m²</w:t>
            </w:r>
          </w:p>
        </w:tc>
        <w:tc>
          <w:tcPr>
            <w:tcW w:w="2190" w:type="dxa"/>
            <w:noWrap/>
            <w:vAlign w:val="center"/>
          </w:tcPr>
          <w:p w14:paraId="45D0595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9,11 mil. m²</w:t>
            </w:r>
          </w:p>
        </w:tc>
        <w:tc>
          <w:tcPr>
            <w:tcW w:w="2182" w:type="dxa"/>
            <w:noWrap/>
            <w:vAlign w:val="center"/>
          </w:tcPr>
          <w:p w14:paraId="45D0596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9,50 mil. m²</w:t>
            </w:r>
          </w:p>
        </w:tc>
      </w:tr>
      <w:tr w:rsidR="00496804" w14:paraId="45D05966" w14:textId="77777777">
        <w:trPr>
          <w:trHeight w:val="288"/>
        </w:trPr>
        <w:tc>
          <w:tcPr>
            <w:tcW w:w="3061" w:type="dxa"/>
            <w:shd w:val="clear" w:color="auto" w:fill="FFCCA6" w:themeFill="accent5" w:themeFillTint="66"/>
            <w:noWrap/>
            <w:vAlign w:val="bottom"/>
          </w:tcPr>
          <w:p w14:paraId="45D05962"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zamjenska gradnja stambenih zgrada (fond zahvaćen demolacijom)</w:t>
            </w:r>
          </w:p>
        </w:tc>
        <w:tc>
          <w:tcPr>
            <w:tcW w:w="2189" w:type="dxa"/>
            <w:noWrap/>
            <w:vAlign w:val="center"/>
          </w:tcPr>
          <w:p w14:paraId="45D0596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5,80 mil. m²</w:t>
            </w:r>
            <w:r>
              <w:rPr>
                <w:rFonts w:ascii="Times New Roman" w:hAnsi="Times New Roman"/>
                <w:sz w:val="24"/>
                <w:vertAlign w:val="superscript"/>
                <w:lang w:eastAsia="hr-HR"/>
              </w:rPr>
              <w:footnoteReference w:id="49"/>
            </w:r>
          </w:p>
        </w:tc>
        <w:tc>
          <w:tcPr>
            <w:tcW w:w="2190" w:type="dxa"/>
            <w:noWrap/>
            <w:vAlign w:val="center"/>
          </w:tcPr>
          <w:p w14:paraId="45D0596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7,26 mil. m²</w:t>
            </w:r>
          </w:p>
        </w:tc>
        <w:tc>
          <w:tcPr>
            <w:tcW w:w="2182" w:type="dxa"/>
            <w:noWrap/>
            <w:vAlign w:val="center"/>
          </w:tcPr>
          <w:p w14:paraId="45D0596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7,11 mil. m²</w:t>
            </w:r>
          </w:p>
        </w:tc>
      </w:tr>
      <w:tr w:rsidR="00496804" w14:paraId="45D0596B" w14:textId="77777777">
        <w:trPr>
          <w:trHeight w:val="288"/>
        </w:trPr>
        <w:tc>
          <w:tcPr>
            <w:tcW w:w="3061" w:type="dxa"/>
            <w:shd w:val="clear" w:color="auto" w:fill="FFCCA6" w:themeFill="accent5" w:themeFillTint="66"/>
            <w:noWrap/>
            <w:vAlign w:val="bottom"/>
          </w:tcPr>
          <w:p w14:paraId="45D05967"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obnova nestambenih zgrada</w:t>
            </w:r>
          </w:p>
        </w:tc>
        <w:tc>
          <w:tcPr>
            <w:tcW w:w="2189" w:type="dxa"/>
            <w:noWrap/>
            <w:vAlign w:val="center"/>
          </w:tcPr>
          <w:p w14:paraId="45D0596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 mil. m²</w:t>
            </w:r>
          </w:p>
        </w:tc>
        <w:tc>
          <w:tcPr>
            <w:tcW w:w="2190" w:type="dxa"/>
            <w:noWrap/>
            <w:vAlign w:val="center"/>
          </w:tcPr>
          <w:p w14:paraId="45D0596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2,39 mil. m²</w:t>
            </w:r>
          </w:p>
        </w:tc>
        <w:tc>
          <w:tcPr>
            <w:tcW w:w="2182" w:type="dxa"/>
            <w:noWrap/>
            <w:vAlign w:val="center"/>
          </w:tcPr>
          <w:p w14:paraId="45D0596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3,18 mil. m²</w:t>
            </w:r>
          </w:p>
        </w:tc>
      </w:tr>
      <w:tr w:rsidR="00496804" w14:paraId="45D05970" w14:textId="77777777">
        <w:trPr>
          <w:trHeight w:val="288"/>
        </w:trPr>
        <w:tc>
          <w:tcPr>
            <w:tcW w:w="3061" w:type="dxa"/>
            <w:shd w:val="clear" w:color="auto" w:fill="FFCCA6" w:themeFill="accent5" w:themeFillTint="66"/>
            <w:noWrap/>
            <w:vAlign w:val="bottom"/>
          </w:tcPr>
          <w:p w14:paraId="45D0596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zamjenska gradnja nestambenih zgrada (fond zahvaćen demolacijom)</w:t>
            </w:r>
          </w:p>
        </w:tc>
        <w:tc>
          <w:tcPr>
            <w:tcW w:w="2189" w:type="dxa"/>
            <w:noWrap/>
            <w:vAlign w:val="center"/>
          </w:tcPr>
          <w:p w14:paraId="45D0596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3,27 mil. m²</w:t>
            </w:r>
          </w:p>
        </w:tc>
        <w:tc>
          <w:tcPr>
            <w:tcW w:w="2190" w:type="dxa"/>
            <w:noWrap/>
            <w:vAlign w:val="center"/>
          </w:tcPr>
          <w:p w14:paraId="45D0596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2,49 mil. m²</w:t>
            </w:r>
          </w:p>
        </w:tc>
        <w:tc>
          <w:tcPr>
            <w:tcW w:w="2182" w:type="dxa"/>
            <w:noWrap/>
            <w:vAlign w:val="center"/>
          </w:tcPr>
          <w:p w14:paraId="45D0596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1,694 mil. m²</w:t>
            </w:r>
          </w:p>
        </w:tc>
      </w:tr>
    </w:tbl>
    <w:p w14:paraId="45D05971" w14:textId="77777777" w:rsidR="00496804" w:rsidRDefault="00496804">
      <w:pPr>
        <w:tabs>
          <w:tab w:val="left" w:pos="431"/>
        </w:tabs>
        <w:spacing w:line="240" w:lineRule="auto"/>
        <w:ind w:left="3"/>
        <w:rPr>
          <w:rFonts w:ascii="Times New Roman" w:hAnsi="Times New Roman"/>
          <w:sz w:val="24"/>
          <w:lang w:eastAsia="hr-HR"/>
        </w:rPr>
      </w:pPr>
    </w:p>
    <w:p w14:paraId="45D05972" w14:textId="21C74FBC" w:rsidR="00496804" w:rsidRDefault="0037359D">
      <w:pPr>
        <w:tabs>
          <w:tab w:val="left" w:pos="431"/>
        </w:tabs>
        <w:spacing w:line="240" w:lineRule="auto"/>
        <w:ind w:left="3"/>
        <w:rPr>
          <w:rFonts w:ascii="Times New Roman" w:hAnsi="Times New Roman"/>
          <w:sz w:val="24"/>
        </w:rPr>
      </w:pPr>
      <w:r>
        <w:rPr>
          <w:rFonts w:ascii="Times New Roman" w:hAnsi="Times New Roman"/>
          <w:sz w:val="24"/>
        </w:rPr>
        <w:t>Kružnom obnovom nekorištenih zgrada poboljšavaju se, između ostalog</w:t>
      </w:r>
      <w:r w:rsidR="00974027">
        <w:rPr>
          <w:rFonts w:ascii="Times New Roman" w:hAnsi="Times New Roman"/>
          <w:sz w:val="24"/>
        </w:rPr>
        <w:t>a</w:t>
      </w:r>
      <w:r>
        <w:rPr>
          <w:rFonts w:ascii="Times New Roman" w:hAnsi="Times New Roman"/>
          <w:sz w:val="24"/>
        </w:rPr>
        <w:t xml:space="preserve">, energetska svojstva zgrada čime se doprinosi ciljevima Dugoročne strategije. Nekorištene zgrade ne sudjeluju u potrošnji energije te se energetskom obnovom takvih zgrada ne ostvaruju uštede energije prilikom ponovnog korištenja zgrade. Međutim, kružnom obnovom zgrada sagledava se cjeloživotni utjecaj svojstava zgrada na okoliš te je uz energiju za korištenje zgrade potrebno uzeti u obzir i energiju koja je utrošena na proizvodnju građevnih materijala, izgradnju zgrade, popravke, održavanje, obnovu i konačno razgradnju zgrade. Navedena energija naziva se ugljičnim otiskom zgrade, a za njen izračun potrebno je razviti metodologiju za izračun ugljičnog otiska. </w:t>
      </w:r>
    </w:p>
    <w:p w14:paraId="45D05973" w14:textId="77777777" w:rsidR="00496804" w:rsidRDefault="00496804">
      <w:pPr>
        <w:tabs>
          <w:tab w:val="left" w:pos="431"/>
        </w:tabs>
        <w:spacing w:line="240" w:lineRule="auto"/>
        <w:ind w:left="3"/>
        <w:rPr>
          <w:rFonts w:ascii="Times New Roman" w:hAnsi="Times New Roman"/>
          <w:sz w:val="24"/>
        </w:rPr>
      </w:pPr>
    </w:p>
    <w:p w14:paraId="06CB16CE" w14:textId="75712097" w:rsidR="00467019" w:rsidRDefault="0037359D" w:rsidP="00467019">
      <w:pPr>
        <w:tabs>
          <w:tab w:val="left" w:pos="431"/>
        </w:tabs>
        <w:spacing w:line="240" w:lineRule="auto"/>
        <w:ind w:left="3"/>
        <w:rPr>
          <w:rFonts w:ascii="Times New Roman" w:hAnsi="Times New Roman"/>
          <w:sz w:val="24"/>
        </w:rPr>
      </w:pPr>
      <w:r>
        <w:rPr>
          <w:rFonts w:ascii="Times New Roman" w:hAnsi="Times New Roman"/>
          <w:sz w:val="24"/>
        </w:rPr>
        <w:t>U Dugoročnoj strategiji navedena je procjena ulaganja u energetsku obnovu zgrada. Uz iskazane direktne troškove energetske obnove navedeni su i troškovi novogradnje koja u stvarnosti predstavlja energetsku obnovu uz premještanje fonda zgrada u prostoru. Ovaj trošak je znatno veći od troška energetske obnove, budući da dolazi do trajnog napuštanja prostora čime se narušava njegov gospodarski potencijal i održivost aktivnosti u tom prostoru, ali taj proces je već godinama prisutan i u trenutačnim makroekonomskim i demografskim okvirima nepovratan.</w:t>
      </w:r>
      <w:bookmarkStart w:id="55" w:name="_Toc33513454"/>
    </w:p>
    <w:p w14:paraId="0FFC2723" w14:textId="77777777" w:rsidR="00467019" w:rsidRDefault="00467019" w:rsidP="00467019">
      <w:pPr>
        <w:tabs>
          <w:tab w:val="left" w:pos="431"/>
        </w:tabs>
        <w:spacing w:line="240" w:lineRule="auto"/>
        <w:ind w:left="3"/>
        <w:rPr>
          <w:rFonts w:ascii="Times New Roman" w:hAnsi="Times New Roman"/>
          <w:b/>
          <w:bCs/>
          <w:i/>
          <w:iCs/>
          <w:sz w:val="24"/>
        </w:rPr>
      </w:pPr>
    </w:p>
    <w:p w14:paraId="45D05976" w14:textId="2299F14F"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6. Procjena ulaganja u energetsku obnovu zgrada</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236"/>
        <w:gridCol w:w="1964"/>
        <w:gridCol w:w="1964"/>
      </w:tblGrid>
      <w:tr w:rsidR="00496804" w14:paraId="45D0597B" w14:textId="77777777" w:rsidTr="005E7EFB">
        <w:trPr>
          <w:trHeight w:val="270"/>
        </w:trPr>
        <w:tc>
          <w:tcPr>
            <w:tcW w:w="3458" w:type="dxa"/>
            <w:shd w:val="clear" w:color="auto" w:fill="FFCCA6" w:themeFill="accent5" w:themeFillTint="66"/>
            <w:vAlign w:val="center"/>
          </w:tcPr>
          <w:p w14:paraId="45D05977"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Razdoblje</w:t>
            </w:r>
          </w:p>
        </w:tc>
        <w:tc>
          <w:tcPr>
            <w:tcW w:w="2236" w:type="dxa"/>
            <w:shd w:val="clear" w:color="auto" w:fill="FFCCA6" w:themeFill="accent5" w:themeFillTint="66"/>
            <w:vAlign w:val="center"/>
          </w:tcPr>
          <w:p w14:paraId="45D05978"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2021. – 2030.</w:t>
            </w:r>
          </w:p>
        </w:tc>
        <w:tc>
          <w:tcPr>
            <w:tcW w:w="1964" w:type="dxa"/>
            <w:shd w:val="clear" w:color="auto" w:fill="FFCCA6" w:themeFill="accent5" w:themeFillTint="66"/>
            <w:vAlign w:val="center"/>
          </w:tcPr>
          <w:p w14:paraId="45D05979"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2031. – 2040.</w:t>
            </w:r>
          </w:p>
        </w:tc>
        <w:tc>
          <w:tcPr>
            <w:tcW w:w="1964" w:type="dxa"/>
            <w:shd w:val="clear" w:color="auto" w:fill="FFCCA6" w:themeFill="accent5" w:themeFillTint="66"/>
            <w:vAlign w:val="center"/>
          </w:tcPr>
          <w:p w14:paraId="45D0597A"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2041. – 2050.</w:t>
            </w:r>
          </w:p>
        </w:tc>
      </w:tr>
      <w:tr w:rsidR="00496804" w14:paraId="45D05980" w14:textId="77777777" w:rsidTr="005E7EFB">
        <w:trPr>
          <w:trHeight w:val="270"/>
        </w:trPr>
        <w:tc>
          <w:tcPr>
            <w:tcW w:w="3458" w:type="dxa"/>
            <w:shd w:val="clear" w:color="auto" w:fill="FFCCA6" w:themeFill="accent5" w:themeFillTint="66"/>
          </w:tcPr>
          <w:p w14:paraId="45D0597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Obuhvat obnove – stambene</w:t>
            </w:r>
          </w:p>
        </w:tc>
        <w:tc>
          <w:tcPr>
            <w:tcW w:w="2236" w:type="dxa"/>
            <w:vMerge w:val="restart"/>
            <w:vAlign w:val="center"/>
          </w:tcPr>
          <w:p w14:paraId="45D0597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8,71</w:t>
            </w:r>
          </w:p>
        </w:tc>
        <w:tc>
          <w:tcPr>
            <w:tcW w:w="1964" w:type="dxa"/>
            <w:vMerge w:val="restart"/>
            <w:vAlign w:val="center"/>
          </w:tcPr>
          <w:p w14:paraId="45D0597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9,11</w:t>
            </w:r>
          </w:p>
        </w:tc>
        <w:tc>
          <w:tcPr>
            <w:tcW w:w="1964" w:type="dxa"/>
            <w:vMerge w:val="restart"/>
            <w:vAlign w:val="center"/>
          </w:tcPr>
          <w:p w14:paraId="45D0597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9,5</w:t>
            </w:r>
          </w:p>
        </w:tc>
      </w:tr>
      <w:tr w:rsidR="00496804" w14:paraId="45D05985" w14:textId="77777777" w:rsidTr="005E7EFB">
        <w:trPr>
          <w:trHeight w:val="315"/>
        </w:trPr>
        <w:tc>
          <w:tcPr>
            <w:tcW w:w="3458" w:type="dxa"/>
            <w:shd w:val="clear" w:color="auto" w:fill="FFCCA6" w:themeFill="accent5" w:themeFillTint="66"/>
          </w:tcPr>
          <w:p w14:paraId="45D0598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6" w:type="dxa"/>
            <w:vMerge/>
            <w:vAlign w:val="center"/>
          </w:tcPr>
          <w:p w14:paraId="45D05982"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3"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4" w14:textId="77777777" w:rsidR="00496804" w:rsidRDefault="00496804">
            <w:pPr>
              <w:spacing w:line="240" w:lineRule="auto"/>
              <w:jc w:val="left"/>
              <w:rPr>
                <w:rFonts w:ascii="Times New Roman" w:hAnsi="Times New Roman"/>
                <w:sz w:val="24"/>
                <w:lang w:eastAsia="hr-HR"/>
              </w:rPr>
            </w:pPr>
          </w:p>
        </w:tc>
      </w:tr>
      <w:tr w:rsidR="00496804" w14:paraId="45D0598A" w14:textId="77777777" w:rsidTr="005E7EFB">
        <w:trPr>
          <w:trHeight w:val="255"/>
        </w:trPr>
        <w:tc>
          <w:tcPr>
            <w:tcW w:w="3458" w:type="dxa"/>
            <w:shd w:val="clear" w:color="auto" w:fill="FFCCA6" w:themeFill="accent5" w:themeFillTint="66"/>
          </w:tcPr>
          <w:p w14:paraId="45D0598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Obuhvat obnove – nestambene</w:t>
            </w:r>
          </w:p>
        </w:tc>
        <w:tc>
          <w:tcPr>
            <w:tcW w:w="2236" w:type="dxa"/>
            <w:vMerge w:val="restart"/>
            <w:vAlign w:val="center"/>
          </w:tcPr>
          <w:p w14:paraId="45D0598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c>
          <w:tcPr>
            <w:tcW w:w="1964" w:type="dxa"/>
            <w:vMerge w:val="restart"/>
            <w:vAlign w:val="center"/>
          </w:tcPr>
          <w:p w14:paraId="45D0598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c>
          <w:tcPr>
            <w:tcW w:w="1964" w:type="dxa"/>
            <w:vMerge w:val="restart"/>
            <w:vAlign w:val="center"/>
          </w:tcPr>
          <w:p w14:paraId="45D0598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r>
      <w:tr w:rsidR="00496804" w14:paraId="45D0598F" w14:textId="77777777" w:rsidTr="005E7EFB">
        <w:trPr>
          <w:trHeight w:val="315"/>
        </w:trPr>
        <w:tc>
          <w:tcPr>
            <w:tcW w:w="3458" w:type="dxa"/>
            <w:shd w:val="clear" w:color="auto" w:fill="FFCCA6" w:themeFill="accent5" w:themeFillTint="66"/>
          </w:tcPr>
          <w:p w14:paraId="45D0598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6" w:type="dxa"/>
            <w:vMerge/>
            <w:vAlign w:val="center"/>
          </w:tcPr>
          <w:p w14:paraId="45D0598C"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D"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E" w14:textId="77777777" w:rsidR="00496804" w:rsidRDefault="00496804">
            <w:pPr>
              <w:spacing w:line="240" w:lineRule="auto"/>
              <w:jc w:val="left"/>
              <w:rPr>
                <w:rFonts w:ascii="Times New Roman" w:hAnsi="Times New Roman"/>
                <w:sz w:val="24"/>
                <w:lang w:eastAsia="hr-HR"/>
              </w:rPr>
            </w:pPr>
          </w:p>
        </w:tc>
      </w:tr>
      <w:tr w:rsidR="00496804" w14:paraId="45D05994" w14:textId="77777777" w:rsidTr="005E7EFB">
        <w:trPr>
          <w:trHeight w:val="525"/>
        </w:trPr>
        <w:tc>
          <w:tcPr>
            <w:tcW w:w="3458" w:type="dxa"/>
            <w:tcBorders>
              <w:bottom w:val="single" w:sz="4" w:space="0" w:color="auto"/>
            </w:tcBorders>
            <w:shd w:val="clear" w:color="auto" w:fill="FFCCA6" w:themeFill="accent5" w:themeFillTint="66"/>
          </w:tcPr>
          <w:p w14:paraId="45D0599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Investicijski trošak obnove – stambene i nestambene  (milijardi kn)</w:t>
            </w:r>
          </w:p>
        </w:tc>
        <w:tc>
          <w:tcPr>
            <w:tcW w:w="2236" w:type="dxa"/>
            <w:tcBorders>
              <w:bottom w:val="single" w:sz="4" w:space="0" w:color="auto"/>
            </w:tcBorders>
            <w:vAlign w:val="center"/>
          </w:tcPr>
          <w:p w14:paraId="45D0599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30,4</w:t>
            </w:r>
          </w:p>
        </w:tc>
        <w:tc>
          <w:tcPr>
            <w:tcW w:w="1964" w:type="dxa"/>
            <w:tcBorders>
              <w:bottom w:val="single" w:sz="4" w:space="0" w:color="auto"/>
            </w:tcBorders>
            <w:vAlign w:val="center"/>
          </w:tcPr>
          <w:p w14:paraId="45D0599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31,1</w:t>
            </w:r>
          </w:p>
        </w:tc>
        <w:tc>
          <w:tcPr>
            <w:tcW w:w="1964" w:type="dxa"/>
            <w:tcBorders>
              <w:bottom w:val="single" w:sz="4" w:space="0" w:color="auto"/>
            </w:tcBorders>
            <w:vAlign w:val="center"/>
          </w:tcPr>
          <w:p w14:paraId="45D0599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31,8</w:t>
            </w:r>
          </w:p>
        </w:tc>
      </w:tr>
      <w:tr w:rsidR="00496804" w14:paraId="45D05997" w14:textId="77777777" w:rsidTr="005E7EFB">
        <w:trPr>
          <w:trHeight w:val="270"/>
        </w:trPr>
        <w:tc>
          <w:tcPr>
            <w:tcW w:w="3458" w:type="dxa"/>
            <w:tcBorders>
              <w:bottom w:val="single" w:sz="4" w:space="0" w:color="auto"/>
            </w:tcBorders>
            <w:shd w:val="clear" w:color="auto" w:fill="FFCCA6" w:themeFill="accent5" w:themeFillTint="66"/>
          </w:tcPr>
          <w:p w14:paraId="45D0599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Ukupni investicijski trošak (milijardi kn)</w:t>
            </w:r>
          </w:p>
        </w:tc>
        <w:tc>
          <w:tcPr>
            <w:tcW w:w="6164" w:type="dxa"/>
            <w:gridSpan w:val="3"/>
            <w:tcBorders>
              <w:bottom w:val="single" w:sz="4" w:space="0" w:color="auto"/>
            </w:tcBorders>
            <w:vAlign w:val="center"/>
          </w:tcPr>
          <w:p w14:paraId="45D05996"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93,31</w:t>
            </w:r>
          </w:p>
        </w:tc>
      </w:tr>
    </w:tbl>
    <w:p w14:paraId="45D059BE" w14:textId="77C23E33" w:rsidR="00496804" w:rsidRDefault="00496804">
      <w:pPr>
        <w:tabs>
          <w:tab w:val="left" w:pos="431"/>
        </w:tabs>
        <w:spacing w:line="240" w:lineRule="auto"/>
        <w:ind w:left="3"/>
        <w:rPr>
          <w:rFonts w:ascii="Times New Roman" w:hAnsi="Times New Roman"/>
          <w:sz w:val="24"/>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2231"/>
        <w:gridCol w:w="1963"/>
        <w:gridCol w:w="1963"/>
      </w:tblGrid>
      <w:tr w:rsidR="005E7EFB" w14:paraId="7FB561DA" w14:textId="77777777" w:rsidTr="003F5A2F">
        <w:trPr>
          <w:trHeight w:val="270"/>
        </w:trPr>
        <w:tc>
          <w:tcPr>
            <w:tcW w:w="3465" w:type="dxa"/>
            <w:tcBorders>
              <w:top w:val="single" w:sz="4" w:space="0" w:color="auto"/>
            </w:tcBorders>
            <w:shd w:val="clear" w:color="auto" w:fill="FFCCA6" w:themeFill="accent5" w:themeFillTint="66"/>
          </w:tcPr>
          <w:p w14:paraId="64EBD70D" w14:textId="77777777" w:rsidR="005E7EFB" w:rsidRDefault="005E7EFB" w:rsidP="005C1111">
            <w:pPr>
              <w:spacing w:line="240" w:lineRule="auto"/>
              <w:jc w:val="left"/>
              <w:rPr>
                <w:rFonts w:ascii="Times New Roman" w:hAnsi="Times New Roman"/>
                <w:b/>
                <w:bCs/>
                <w:sz w:val="24"/>
                <w:lang w:eastAsia="hr-HR"/>
              </w:rPr>
            </w:pPr>
            <w:r>
              <w:rPr>
                <w:rFonts w:ascii="Times New Roman" w:hAnsi="Times New Roman"/>
                <w:b/>
                <w:bCs/>
                <w:sz w:val="24"/>
                <w:lang w:eastAsia="hr-HR"/>
              </w:rPr>
              <w:lastRenderedPageBreak/>
              <w:t>Razdoblje</w:t>
            </w:r>
          </w:p>
        </w:tc>
        <w:tc>
          <w:tcPr>
            <w:tcW w:w="2231" w:type="dxa"/>
            <w:tcBorders>
              <w:top w:val="single" w:sz="4" w:space="0" w:color="auto"/>
            </w:tcBorders>
            <w:vAlign w:val="center"/>
          </w:tcPr>
          <w:p w14:paraId="46A5F38D" w14:textId="77777777" w:rsidR="005E7EFB" w:rsidRDefault="005E7EFB" w:rsidP="005C1111">
            <w:pPr>
              <w:spacing w:line="240" w:lineRule="auto"/>
              <w:jc w:val="center"/>
              <w:rPr>
                <w:rFonts w:ascii="Times New Roman" w:hAnsi="Times New Roman"/>
                <w:b/>
                <w:bCs/>
                <w:sz w:val="24"/>
                <w:lang w:eastAsia="hr-HR"/>
              </w:rPr>
            </w:pPr>
            <w:r>
              <w:rPr>
                <w:rFonts w:ascii="Times New Roman" w:hAnsi="Times New Roman"/>
                <w:b/>
                <w:bCs/>
                <w:sz w:val="24"/>
                <w:lang w:eastAsia="hr-HR"/>
              </w:rPr>
              <w:t>2021. – 2030.</w:t>
            </w:r>
          </w:p>
        </w:tc>
        <w:tc>
          <w:tcPr>
            <w:tcW w:w="1963" w:type="dxa"/>
            <w:tcBorders>
              <w:top w:val="single" w:sz="4" w:space="0" w:color="auto"/>
            </w:tcBorders>
            <w:vAlign w:val="center"/>
          </w:tcPr>
          <w:p w14:paraId="677D3C4A" w14:textId="77777777" w:rsidR="005E7EFB" w:rsidRDefault="005E7EFB" w:rsidP="005C1111">
            <w:pPr>
              <w:spacing w:line="240" w:lineRule="auto"/>
              <w:jc w:val="center"/>
              <w:rPr>
                <w:rFonts w:ascii="Times New Roman" w:hAnsi="Times New Roman"/>
                <w:b/>
                <w:bCs/>
                <w:sz w:val="24"/>
                <w:lang w:eastAsia="hr-HR"/>
              </w:rPr>
            </w:pPr>
            <w:r>
              <w:rPr>
                <w:rFonts w:ascii="Times New Roman" w:hAnsi="Times New Roman"/>
                <w:b/>
                <w:bCs/>
                <w:sz w:val="24"/>
                <w:lang w:eastAsia="hr-HR"/>
              </w:rPr>
              <w:t>2031. – 2040.</w:t>
            </w:r>
          </w:p>
        </w:tc>
        <w:tc>
          <w:tcPr>
            <w:tcW w:w="1963" w:type="dxa"/>
            <w:tcBorders>
              <w:top w:val="single" w:sz="4" w:space="0" w:color="auto"/>
            </w:tcBorders>
            <w:vAlign w:val="center"/>
          </w:tcPr>
          <w:p w14:paraId="4A7EDB71" w14:textId="77777777" w:rsidR="005E7EFB" w:rsidRDefault="005E7EFB" w:rsidP="005C1111">
            <w:pPr>
              <w:spacing w:line="240" w:lineRule="auto"/>
              <w:jc w:val="center"/>
              <w:rPr>
                <w:rFonts w:ascii="Times New Roman" w:hAnsi="Times New Roman"/>
                <w:b/>
                <w:bCs/>
                <w:sz w:val="24"/>
                <w:lang w:eastAsia="hr-HR"/>
              </w:rPr>
            </w:pPr>
            <w:r>
              <w:rPr>
                <w:rFonts w:ascii="Times New Roman" w:hAnsi="Times New Roman"/>
                <w:b/>
                <w:bCs/>
                <w:sz w:val="24"/>
                <w:lang w:eastAsia="hr-HR"/>
              </w:rPr>
              <w:t>2041. – 2050.</w:t>
            </w:r>
          </w:p>
        </w:tc>
      </w:tr>
      <w:tr w:rsidR="005E7EFB" w14:paraId="74753FBB" w14:textId="77777777" w:rsidTr="003F5A2F">
        <w:trPr>
          <w:trHeight w:val="270"/>
        </w:trPr>
        <w:tc>
          <w:tcPr>
            <w:tcW w:w="3465" w:type="dxa"/>
            <w:shd w:val="clear" w:color="auto" w:fill="FFCCA6" w:themeFill="accent5" w:themeFillTint="66"/>
          </w:tcPr>
          <w:p w14:paraId="6C77E64C"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Zamjena demoliranog - stambena</w:t>
            </w:r>
          </w:p>
        </w:tc>
        <w:tc>
          <w:tcPr>
            <w:tcW w:w="2231" w:type="dxa"/>
            <w:vMerge w:val="restart"/>
            <w:vAlign w:val="center"/>
          </w:tcPr>
          <w:p w14:paraId="4ECAE66C"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5,8</w:t>
            </w:r>
          </w:p>
        </w:tc>
        <w:tc>
          <w:tcPr>
            <w:tcW w:w="1963" w:type="dxa"/>
            <w:vMerge w:val="restart"/>
            <w:vAlign w:val="center"/>
          </w:tcPr>
          <w:p w14:paraId="58F69DF7"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7,26</w:t>
            </w:r>
          </w:p>
        </w:tc>
        <w:tc>
          <w:tcPr>
            <w:tcW w:w="1963" w:type="dxa"/>
            <w:vMerge w:val="restart"/>
            <w:vAlign w:val="center"/>
          </w:tcPr>
          <w:p w14:paraId="0816F9AE"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7,11</w:t>
            </w:r>
          </w:p>
        </w:tc>
      </w:tr>
      <w:tr w:rsidR="005E7EFB" w14:paraId="4CEB93E4" w14:textId="77777777" w:rsidTr="003F5A2F">
        <w:trPr>
          <w:trHeight w:val="315"/>
        </w:trPr>
        <w:tc>
          <w:tcPr>
            <w:tcW w:w="3465" w:type="dxa"/>
            <w:shd w:val="clear" w:color="auto" w:fill="FFCCA6" w:themeFill="accent5" w:themeFillTint="66"/>
          </w:tcPr>
          <w:p w14:paraId="511AD9A0"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1" w:type="dxa"/>
            <w:vMerge/>
            <w:vAlign w:val="center"/>
          </w:tcPr>
          <w:p w14:paraId="0E1BB029" w14:textId="77777777" w:rsidR="005E7EFB" w:rsidRDefault="005E7EFB" w:rsidP="005C1111">
            <w:pPr>
              <w:spacing w:line="240" w:lineRule="auto"/>
              <w:jc w:val="left"/>
              <w:rPr>
                <w:rFonts w:ascii="Times New Roman" w:hAnsi="Times New Roman"/>
                <w:sz w:val="24"/>
                <w:lang w:eastAsia="hr-HR"/>
              </w:rPr>
            </w:pPr>
          </w:p>
        </w:tc>
        <w:tc>
          <w:tcPr>
            <w:tcW w:w="1963" w:type="dxa"/>
            <w:vMerge/>
            <w:vAlign w:val="center"/>
          </w:tcPr>
          <w:p w14:paraId="5741D0FC" w14:textId="77777777" w:rsidR="005E7EFB" w:rsidRDefault="005E7EFB" w:rsidP="005C1111">
            <w:pPr>
              <w:spacing w:line="240" w:lineRule="auto"/>
              <w:jc w:val="left"/>
              <w:rPr>
                <w:rFonts w:ascii="Times New Roman" w:hAnsi="Times New Roman"/>
                <w:sz w:val="24"/>
                <w:lang w:eastAsia="hr-HR"/>
              </w:rPr>
            </w:pPr>
          </w:p>
        </w:tc>
        <w:tc>
          <w:tcPr>
            <w:tcW w:w="1963" w:type="dxa"/>
            <w:vMerge/>
            <w:vAlign w:val="center"/>
          </w:tcPr>
          <w:p w14:paraId="12FB4750" w14:textId="77777777" w:rsidR="005E7EFB" w:rsidRDefault="005E7EFB" w:rsidP="005C1111">
            <w:pPr>
              <w:spacing w:line="240" w:lineRule="auto"/>
              <w:jc w:val="left"/>
              <w:rPr>
                <w:rFonts w:ascii="Times New Roman" w:hAnsi="Times New Roman"/>
                <w:sz w:val="24"/>
                <w:lang w:eastAsia="hr-HR"/>
              </w:rPr>
            </w:pPr>
          </w:p>
        </w:tc>
      </w:tr>
      <w:tr w:rsidR="005E7EFB" w14:paraId="6DB87C39" w14:textId="77777777" w:rsidTr="003F5A2F">
        <w:trPr>
          <w:trHeight w:val="255"/>
        </w:trPr>
        <w:tc>
          <w:tcPr>
            <w:tcW w:w="3465" w:type="dxa"/>
            <w:shd w:val="clear" w:color="auto" w:fill="FFCCA6" w:themeFill="accent5" w:themeFillTint="66"/>
          </w:tcPr>
          <w:p w14:paraId="049564C7"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Zamjena demoliranog  - nestambena</w:t>
            </w:r>
          </w:p>
        </w:tc>
        <w:tc>
          <w:tcPr>
            <w:tcW w:w="2231" w:type="dxa"/>
            <w:vMerge w:val="restart"/>
            <w:vAlign w:val="center"/>
          </w:tcPr>
          <w:p w14:paraId="7247DCB0"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3,27</w:t>
            </w:r>
          </w:p>
        </w:tc>
        <w:tc>
          <w:tcPr>
            <w:tcW w:w="1963" w:type="dxa"/>
            <w:vMerge w:val="restart"/>
            <w:vAlign w:val="center"/>
          </w:tcPr>
          <w:p w14:paraId="49EA4732"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2,49</w:t>
            </w:r>
          </w:p>
        </w:tc>
        <w:tc>
          <w:tcPr>
            <w:tcW w:w="1963" w:type="dxa"/>
            <w:vMerge w:val="restart"/>
            <w:vAlign w:val="center"/>
          </w:tcPr>
          <w:p w14:paraId="3BBA1B5C"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1,694</w:t>
            </w:r>
          </w:p>
        </w:tc>
      </w:tr>
      <w:tr w:rsidR="005E7EFB" w14:paraId="31FE0F4B" w14:textId="77777777" w:rsidTr="003F5A2F">
        <w:trPr>
          <w:trHeight w:val="315"/>
        </w:trPr>
        <w:tc>
          <w:tcPr>
            <w:tcW w:w="3465" w:type="dxa"/>
            <w:shd w:val="clear" w:color="auto" w:fill="FFCCA6" w:themeFill="accent5" w:themeFillTint="66"/>
          </w:tcPr>
          <w:p w14:paraId="598294CF"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1" w:type="dxa"/>
            <w:vMerge/>
            <w:vAlign w:val="center"/>
          </w:tcPr>
          <w:p w14:paraId="0193BE04" w14:textId="77777777" w:rsidR="005E7EFB" w:rsidRDefault="005E7EFB" w:rsidP="005C1111">
            <w:pPr>
              <w:spacing w:line="240" w:lineRule="auto"/>
              <w:jc w:val="left"/>
              <w:rPr>
                <w:rFonts w:ascii="Times New Roman" w:hAnsi="Times New Roman"/>
                <w:sz w:val="24"/>
                <w:lang w:eastAsia="hr-HR"/>
              </w:rPr>
            </w:pPr>
          </w:p>
        </w:tc>
        <w:tc>
          <w:tcPr>
            <w:tcW w:w="1963" w:type="dxa"/>
            <w:vMerge/>
            <w:vAlign w:val="center"/>
          </w:tcPr>
          <w:p w14:paraId="1BED59C0" w14:textId="77777777" w:rsidR="005E7EFB" w:rsidRDefault="005E7EFB" w:rsidP="005C1111">
            <w:pPr>
              <w:spacing w:line="240" w:lineRule="auto"/>
              <w:jc w:val="left"/>
              <w:rPr>
                <w:rFonts w:ascii="Times New Roman" w:hAnsi="Times New Roman"/>
                <w:sz w:val="24"/>
                <w:lang w:eastAsia="hr-HR"/>
              </w:rPr>
            </w:pPr>
          </w:p>
        </w:tc>
        <w:tc>
          <w:tcPr>
            <w:tcW w:w="1963" w:type="dxa"/>
            <w:vMerge/>
            <w:vAlign w:val="center"/>
          </w:tcPr>
          <w:p w14:paraId="7B98DA5D" w14:textId="77777777" w:rsidR="005E7EFB" w:rsidRDefault="005E7EFB" w:rsidP="005C1111">
            <w:pPr>
              <w:spacing w:line="240" w:lineRule="auto"/>
              <w:jc w:val="left"/>
              <w:rPr>
                <w:rFonts w:ascii="Times New Roman" w:hAnsi="Times New Roman"/>
                <w:sz w:val="24"/>
                <w:lang w:eastAsia="hr-HR"/>
              </w:rPr>
            </w:pPr>
          </w:p>
        </w:tc>
      </w:tr>
      <w:tr w:rsidR="005E7EFB" w14:paraId="6DC042AF" w14:textId="77777777" w:rsidTr="003F5A2F">
        <w:trPr>
          <w:trHeight w:val="525"/>
        </w:trPr>
        <w:tc>
          <w:tcPr>
            <w:tcW w:w="3465" w:type="dxa"/>
            <w:shd w:val="clear" w:color="auto" w:fill="FFCCA6" w:themeFill="accent5" w:themeFillTint="66"/>
          </w:tcPr>
          <w:p w14:paraId="7A9D88E2"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Investicijski trošak napuštanja prostora i premještanja fonda</w:t>
            </w:r>
          </w:p>
        </w:tc>
        <w:tc>
          <w:tcPr>
            <w:tcW w:w="2231" w:type="dxa"/>
            <w:vAlign w:val="center"/>
          </w:tcPr>
          <w:p w14:paraId="089941BD"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79,83</w:t>
            </w:r>
          </w:p>
        </w:tc>
        <w:tc>
          <w:tcPr>
            <w:tcW w:w="1963" w:type="dxa"/>
            <w:vAlign w:val="center"/>
          </w:tcPr>
          <w:p w14:paraId="7A7B980B"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83,89</w:t>
            </w:r>
          </w:p>
        </w:tc>
        <w:tc>
          <w:tcPr>
            <w:tcW w:w="1963" w:type="dxa"/>
            <w:vAlign w:val="center"/>
          </w:tcPr>
          <w:p w14:paraId="7284DA86" w14:textId="77777777" w:rsidR="005E7EFB" w:rsidRDefault="005E7EFB" w:rsidP="005C1111">
            <w:pPr>
              <w:spacing w:line="240" w:lineRule="auto"/>
              <w:jc w:val="center"/>
              <w:rPr>
                <w:rFonts w:ascii="Times New Roman" w:hAnsi="Times New Roman"/>
                <w:sz w:val="24"/>
                <w:lang w:eastAsia="hr-HR"/>
              </w:rPr>
            </w:pPr>
            <w:r>
              <w:rPr>
                <w:rFonts w:ascii="Times New Roman" w:hAnsi="Times New Roman"/>
                <w:sz w:val="24"/>
                <w:lang w:eastAsia="hr-HR"/>
              </w:rPr>
              <w:t>74,71</w:t>
            </w:r>
          </w:p>
        </w:tc>
      </w:tr>
      <w:tr w:rsidR="005E7EFB" w14:paraId="6C2CEC6B" w14:textId="77777777" w:rsidTr="003F5A2F">
        <w:trPr>
          <w:trHeight w:val="270"/>
        </w:trPr>
        <w:tc>
          <w:tcPr>
            <w:tcW w:w="3465" w:type="dxa"/>
            <w:shd w:val="clear" w:color="auto" w:fill="FFCCA6" w:themeFill="accent5" w:themeFillTint="66"/>
          </w:tcPr>
          <w:p w14:paraId="03CB2518" w14:textId="77777777" w:rsidR="005E7EFB" w:rsidRDefault="005E7EFB" w:rsidP="005C1111">
            <w:pPr>
              <w:spacing w:line="240" w:lineRule="auto"/>
              <w:jc w:val="left"/>
              <w:rPr>
                <w:rFonts w:ascii="Times New Roman" w:hAnsi="Times New Roman"/>
                <w:sz w:val="24"/>
                <w:lang w:eastAsia="hr-HR"/>
              </w:rPr>
            </w:pPr>
            <w:r>
              <w:rPr>
                <w:rFonts w:ascii="Times New Roman" w:hAnsi="Times New Roman"/>
                <w:sz w:val="24"/>
                <w:lang w:eastAsia="hr-HR"/>
              </w:rPr>
              <w:t>Ukupni investicijski trošak (milijardi kn)</w:t>
            </w:r>
          </w:p>
        </w:tc>
        <w:tc>
          <w:tcPr>
            <w:tcW w:w="6157" w:type="dxa"/>
            <w:gridSpan w:val="3"/>
            <w:vAlign w:val="center"/>
          </w:tcPr>
          <w:p w14:paraId="235AC464" w14:textId="77777777" w:rsidR="005E7EFB" w:rsidRDefault="005E7EFB" w:rsidP="005C1111">
            <w:pPr>
              <w:spacing w:line="240" w:lineRule="auto"/>
              <w:jc w:val="center"/>
              <w:rPr>
                <w:rFonts w:ascii="Times New Roman" w:hAnsi="Times New Roman"/>
                <w:b/>
                <w:bCs/>
                <w:sz w:val="24"/>
                <w:lang w:eastAsia="hr-HR"/>
              </w:rPr>
            </w:pPr>
            <w:r>
              <w:rPr>
                <w:rFonts w:ascii="Times New Roman" w:hAnsi="Times New Roman"/>
                <w:b/>
                <w:bCs/>
                <w:sz w:val="24"/>
                <w:lang w:eastAsia="hr-HR"/>
              </w:rPr>
              <w:t>238,42</w:t>
            </w:r>
          </w:p>
        </w:tc>
      </w:tr>
    </w:tbl>
    <w:p w14:paraId="6F96111D" w14:textId="77777777" w:rsidR="005E7EFB" w:rsidRDefault="005E7EFB">
      <w:pPr>
        <w:tabs>
          <w:tab w:val="left" w:pos="431"/>
        </w:tabs>
        <w:spacing w:line="240" w:lineRule="auto"/>
        <w:ind w:left="3"/>
        <w:rPr>
          <w:rFonts w:ascii="Times New Roman" w:hAnsi="Times New Roman"/>
          <w:sz w:val="24"/>
        </w:rPr>
      </w:pPr>
    </w:p>
    <w:p w14:paraId="45D059BF" w14:textId="1276B8A3" w:rsidR="00496804" w:rsidRDefault="0037359D">
      <w:pPr>
        <w:tabs>
          <w:tab w:val="left" w:pos="431"/>
        </w:tabs>
        <w:spacing w:line="240" w:lineRule="auto"/>
        <w:ind w:left="3"/>
        <w:rPr>
          <w:rFonts w:ascii="Times New Roman" w:hAnsi="Times New Roman"/>
          <w:sz w:val="24"/>
        </w:rPr>
      </w:pPr>
      <w:r>
        <w:rPr>
          <w:rFonts w:ascii="Times New Roman" w:hAnsi="Times New Roman"/>
          <w:sz w:val="24"/>
        </w:rPr>
        <w:t>Kružnom obnovom nekorištenih zgrada štedi se energija koja bi u slučaju izgradnje nove zgrade bila utrošena na razgradnju postojeće nekorištene zgrade, zbrinjavanje nastalog otpada, proizvodnju građevnih materijala i izgradnju nove zamjenske zgrade. Stoga, izračun isplativosti projekta kružne obnove nije moguće sagledati isključivo u odnosu troškova obnove i novogradnje, već je potrebno sagledati cjeloživotni utjecaj zgrada na okoliš.</w:t>
      </w:r>
    </w:p>
    <w:p w14:paraId="45D059C0" w14:textId="77777777" w:rsidR="00496804" w:rsidRDefault="00496804">
      <w:pPr>
        <w:spacing w:line="240" w:lineRule="auto"/>
        <w:rPr>
          <w:rFonts w:ascii="Times New Roman" w:hAnsi="Times New Roman"/>
          <w:sz w:val="24"/>
        </w:rPr>
      </w:pPr>
    </w:p>
    <w:p w14:paraId="45D059C1" w14:textId="77777777" w:rsidR="00496804" w:rsidRDefault="0037359D">
      <w:pPr>
        <w:spacing w:line="240" w:lineRule="auto"/>
        <w:rPr>
          <w:rFonts w:ascii="Times New Roman" w:hAnsi="Times New Roman"/>
          <w:sz w:val="24"/>
        </w:rPr>
      </w:pPr>
      <w:r>
        <w:rPr>
          <w:rFonts w:ascii="Times New Roman" w:hAnsi="Times New Roman"/>
          <w:sz w:val="24"/>
        </w:rPr>
        <w:t xml:space="preserve">Prema razdoblju gradnje, Dugoročna strategija navodi kako je ukupni fond zgrada u 2018. godini  204.418.233 m², od čega je 146.924.679 m² stambenih i 57.493.554 m² nestambenih zgrada. </w:t>
      </w:r>
    </w:p>
    <w:p w14:paraId="45D059C2" w14:textId="77777777" w:rsidR="00496804" w:rsidRDefault="00496804">
      <w:pPr>
        <w:spacing w:line="240" w:lineRule="auto"/>
        <w:rPr>
          <w:rFonts w:ascii="Times New Roman" w:hAnsi="Times New Roman"/>
          <w:sz w:val="24"/>
        </w:rPr>
      </w:pPr>
    </w:p>
    <w:p w14:paraId="45D059C3"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7. Stambeni fond RH prema godini izgradnje (sve zgrade)</w:t>
      </w:r>
      <w:bookmarkStart w:id="56" w:name="_Toc33513427"/>
      <w:r>
        <w:rPr>
          <w:rFonts w:ascii="Times New Roman" w:hAnsi="Times New Roman"/>
          <w:b w:val="0"/>
          <w:bCs w:val="0"/>
          <w:i/>
          <w:iCs/>
          <w:sz w:val="24"/>
          <w:szCs w:val="24"/>
        </w:rPr>
        <w:t xml:space="preserve"> </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507"/>
        <w:gridCol w:w="2085"/>
        <w:gridCol w:w="1808"/>
        <w:gridCol w:w="1808"/>
      </w:tblGrid>
      <w:tr w:rsidR="00496804" w14:paraId="45D059C7" w14:textId="77777777">
        <w:trPr>
          <w:trHeight w:val="300"/>
        </w:trPr>
        <w:tc>
          <w:tcPr>
            <w:tcW w:w="2344" w:type="dxa"/>
            <w:vMerge w:val="restart"/>
            <w:shd w:val="clear" w:color="auto" w:fill="FFCCA6" w:themeFill="accent5" w:themeFillTint="66"/>
            <w:noWrap/>
            <w:vAlign w:val="bottom"/>
          </w:tcPr>
          <w:p w14:paraId="45D059C4" w14:textId="77777777" w:rsidR="00496804" w:rsidRDefault="00496804">
            <w:pPr>
              <w:spacing w:line="240" w:lineRule="auto"/>
              <w:jc w:val="left"/>
              <w:rPr>
                <w:rFonts w:ascii="Times New Roman" w:hAnsi="Times New Roman"/>
                <w:sz w:val="24"/>
                <w:lang w:eastAsia="hr-HR"/>
              </w:rPr>
            </w:pPr>
          </w:p>
        </w:tc>
        <w:tc>
          <w:tcPr>
            <w:tcW w:w="3488" w:type="dxa"/>
            <w:gridSpan w:val="2"/>
            <w:shd w:val="clear" w:color="auto" w:fill="FFCCA6" w:themeFill="accent5" w:themeFillTint="66"/>
            <w:noWrap/>
            <w:vAlign w:val="bottom"/>
          </w:tcPr>
          <w:p w14:paraId="45D059C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višestambene</w:t>
            </w:r>
          </w:p>
        </w:tc>
        <w:tc>
          <w:tcPr>
            <w:tcW w:w="3512" w:type="dxa"/>
            <w:gridSpan w:val="2"/>
            <w:shd w:val="clear" w:color="auto" w:fill="FFCCA6" w:themeFill="accent5" w:themeFillTint="66"/>
            <w:noWrap/>
            <w:vAlign w:val="bottom"/>
          </w:tcPr>
          <w:p w14:paraId="45D059C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obiteljske</w:t>
            </w:r>
          </w:p>
        </w:tc>
      </w:tr>
      <w:tr w:rsidR="00496804" w14:paraId="45D059CD" w14:textId="77777777">
        <w:trPr>
          <w:trHeight w:val="300"/>
        </w:trPr>
        <w:tc>
          <w:tcPr>
            <w:tcW w:w="2344" w:type="dxa"/>
            <w:vMerge/>
            <w:shd w:val="clear" w:color="auto" w:fill="FFCCA6" w:themeFill="accent5" w:themeFillTint="66"/>
            <w:noWrap/>
            <w:vAlign w:val="bottom"/>
          </w:tcPr>
          <w:p w14:paraId="45D059C8" w14:textId="77777777" w:rsidR="00496804" w:rsidRDefault="00496804">
            <w:pPr>
              <w:spacing w:line="240" w:lineRule="auto"/>
              <w:jc w:val="left"/>
              <w:rPr>
                <w:rFonts w:ascii="Times New Roman" w:hAnsi="Times New Roman"/>
                <w:sz w:val="24"/>
                <w:lang w:eastAsia="hr-HR"/>
              </w:rPr>
            </w:pPr>
          </w:p>
        </w:tc>
        <w:tc>
          <w:tcPr>
            <w:tcW w:w="1463" w:type="dxa"/>
            <w:shd w:val="clear" w:color="auto" w:fill="FFCCA6" w:themeFill="accent5" w:themeFillTint="66"/>
            <w:noWrap/>
          </w:tcPr>
          <w:p w14:paraId="45D059C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broj zgrada</w:t>
            </w:r>
          </w:p>
        </w:tc>
        <w:tc>
          <w:tcPr>
            <w:tcW w:w="2025" w:type="dxa"/>
            <w:shd w:val="clear" w:color="auto" w:fill="FFCCA6" w:themeFill="accent5" w:themeFillTint="66"/>
            <w:noWrap/>
          </w:tcPr>
          <w:p w14:paraId="45D059C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površina</w:t>
            </w:r>
          </w:p>
        </w:tc>
        <w:tc>
          <w:tcPr>
            <w:tcW w:w="1756" w:type="dxa"/>
            <w:shd w:val="clear" w:color="auto" w:fill="FFCCA6" w:themeFill="accent5" w:themeFillTint="66"/>
            <w:noWrap/>
          </w:tcPr>
          <w:p w14:paraId="45D059C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broj zgrada</w:t>
            </w:r>
          </w:p>
        </w:tc>
        <w:tc>
          <w:tcPr>
            <w:tcW w:w="1756" w:type="dxa"/>
            <w:shd w:val="clear" w:color="auto" w:fill="FFCCA6" w:themeFill="accent5" w:themeFillTint="66"/>
            <w:noWrap/>
          </w:tcPr>
          <w:p w14:paraId="45D059C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površina</w:t>
            </w:r>
          </w:p>
        </w:tc>
      </w:tr>
      <w:tr w:rsidR="00496804" w14:paraId="45D059D3" w14:textId="77777777">
        <w:trPr>
          <w:trHeight w:val="300"/>
        </w:trPr>
        <w:tc>
          <w:tcPr>
            <w:tcW w:w="2344" w:type="dxa"/>
            <w:vMerge/>
            <w:shd w:val="clear" w:color="auto" w:fill="FFCCA6" w:themeFill="accent5" w:themeFillTint="66"/>
            <w:noWrap/>
            <w:vAlign w:val="bottom"/>
          </w:tcPr>
          <w:p w14:paraId="45D059CE" w14:textId="77777777" w:rsidR="00496804" w:rsidRDefault="00496804">
            <w:pPr>
              <w:spacing w:line="240" w:lineRule="auto"/>
              <w:jc w:val="center"/>
              <w:rPr>
                <w:rFonts w:ascii="Times New Roman" w:hAnsi="Times New Roman"/>
                <w:sz w:val="24"/>
                <w:lang w:eastAsia="hr-HR"/>
              </w:rPr>
            </w:pPr>
          </w:p>
        </w:tc>
        <w:tc>
          <w:tcPr>
            <w:tcW w:w="1463" w:type="dxa"/>
            <w:shd w:val="clear" w:color="auto" w:fill="FFCCA6" w:themeFill="accent5" w:themeFillTint="66"/>
            <w:noWrap/>
          </w:tcPr>
          <w:p w14:paraId="45D059C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w:t>
            </w:r>
          </w:p>
        </w:tc>
        <w:tc>
          <w:tcPr>
            <w:tcW w:w="2025" w:type="dxa"/>
            <w:shd w:val="clear" w:color="auto" w:fill="FFCCA6" w:themeFill="accent5" w:themeFillTint="66"/>
            <w:noWrap/>
          </w:tcPr>
          <w:p w14:paraId="45D059D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m²</w:t>
            </w:r>
          </w:p>
        </w:tc>
        <w:tc>
          <w:tcPr>
            <w:tcW w:w="1756" w:type="dxa"/>
            <w:shd w:val="clear" w:color="auto" w:fill="FFCCA6" w:themeFill="accent5" w:themeFillTint="66"/>
            <w:noWrap/>
          </w:tcPr>
          <w:p w14:paraId="45D059D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w:t>
            </w:r>
          </w:p>
        </w:tc>
        <w:tc>
          <w:tcPr>
            <w:tcW w:w="1756" w:type="dxa"/>
            <w:shd w:val="clear" w:color="auto" w:fill="FFCCA6" w:themeFill="accent5" w:themeFillTint="66"/>
            <w:noWrap/>
          </w:tcPr>
          <w:p w14:paraId="45D059D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m²</w:t>
            </w:r>
          </w:p>
        </w:tc>
      </w:tr>
      <w:tr w:rsidR="00496804" w14:paraId="45D059D9" w14:textId="77777777">
        <w:trPr>
          <w:trHeight w:val="300"/>
        </w:trPr>
        <w:tc>
          <w:tcPr>
            <w:tcW w:w="2344" w:type="dxa"/>
            <w:shd w:val="clear" w:color="auto" w:fill="FFCCA6" w:themeFill="accent5" w:themeFillTint="66"/>
            <w:noWrap/>
            <w:vAlign w:val="bottom"/>
          </w:tcPr>
          <w:p w14:paraId="45D059D4"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do 1941.</w:t>
            </w:r>
          </w:p>
        </w:tc>
        <w:tc>
          <w:tcPr>
            <w:tcW w:w="1463" w:type="dxa"/>
            <w:noWrap/>
            <w:vAlign w:val="bottom"/>
          </w:tcPr>
          <w:p w14:paraId="45D059D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37.201</w:t>
            </w:r>
          </w:p>
        </w:tc>
        <w:tc>
          <w:tcPr>
            <w:tcW w:w="2025" w:type="dxa"/>
            <w:noWrap/>
            <w:vAlign w:val="bottom"/>
          </w:tcPr>
          <w:p w14:paraId="45D059D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5.830.983</w:t>
            </w:r>
          </w:p>
        </w:tc>
        <w:tc>
          <w:tcPr>
            <w:tcW w:w="1756" w:type="dxa"/>
            <w:noWrap/>
            <w:vAlign w:val="bottom"/>
          </w:tcPr>
          <w:p w14:paraId="45D059D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64.391</w:t>
            </w:r>
          </w:p>
        </w:tc>
        <w:tc>
          <w:tcPr>
            <w:tcW w:w="1756" w:type="dxa"/>
            <w:noWrap/>
            <w:vAlign w:val="bottom"/>
          </w:tcPr>
          <w:p w14:paraId="45D059D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10.092.805</w:t>
            </w:r>
          </w:p>
        </w:tc>
      </w:tr>
      <w:tr w:rsidR="00496804" w14:paraId="45D059DF" w14:textId="77777777">
        <w:trPr>
          <w:trHeight w:val="300"/>
        </w:trPr>
        <w:tc>
          <w:tcPr>
            <w:tcW w:w="2344" w:type="dxa"/>
            <w:shd w:val="clear" w:color="auto" w:fill="FFCCA6" w:themeFill="accent5" w:themeFillTint="66"/>
            <w:noWrap/>
            <w:vAlign w:val="bottom"/>
          </w:tcPr>
          <w:p w14:paraId="45D059D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1941. - 1970.</w:t>
            </w:r>
          </w:p>
        </w:tc>
        <w:tc>
          <w:tcPr>
            <w:tcW w:w="1463" w:type="dxa"/>
            <w:noWrap/>
            <w:vAlign w:val="bottom"/>
          </w:tcPr>
          <w:p w14:paraId="45D059D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85.959</w:t>
            </w:r>
          </w:p>
        </w:tc>
        <w:tc>
          <w:tcPr>
            <w:tcW w:w="2025" w:type="dxa"/>
            <w:noWrap/>
            <w:vAlign w:val="bottom"/>
          </w:tcPr>
          <w:p w14:paraId="45D059D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13.473.337</w:t>
            </w:r>
          </w:p>
        </w:tc>
        <w:tc>
          <w:tcPr>
            <w:tcW w:w="1756" w:type="dxa"/>
            <w:noWrap/>
            <w:vAlign w:val="bottom"/>
          </w:tcPr>
          <w:p w14:paraId="45D059D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151.507</w:t>
            </w:r>
          </w:p>
        </w:tc>
        <w:tc>
          <w:tcPr>
            <w:tcW w:w="1756" w:type="dxa"/>
            <w:noWrap/>
            <w:vAlign w:val="bottom"/>
          </w:tcPr>
          <w:p w14:paraId="45D059D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23.747.572</w:t>
            </w:r>
          </w:p>
        </w:tc>
      </w:tr>
      <w:tr w:rsidR="00496804" w14:paraId="45D059E5" w14:textId="77777777">
        <w:trPr>
          <w:trHeight w:val="300"/>
        </w:trPr>
        <w:tc>
          <w:tcPr>
            <w:tcW w:w="2344" w:type="dxa"/>
            <w:shd w:val="clear" w:color="auto" w:fill="FFCCA6" w:themeFill="accent5" w:themeFillTint="66"/>
            <w:noWrap/>
            <w:vAlign w:val="bottom"/>
          </w:tcPr>
          <w:p w14:paraId="45D059E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1971. - 1980.</w:t>
            </w:r>
          </w:p>
        </w:tc>
        <w:tc>
          <w:tcPr>
            <w:tcW w:w="1463" w:type="dxa"/>
            <w:noWrap/>
            <w:vAlign w:val="bottom"/>
          </w:tcPr>
          <w:p w14:paraId="45D059E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59.882</w:t>
            </w:r>
          </w:p>
        </w:tc>
        <w:tc>
          <w:tcPr>
            <w:tcW w:w="2025" w:type="dxa"/>
            <w:noWrap/>
            <w:vAlign w:val="bottom"/>
          </w:tcPr>
          <w:p w14:paraId="45D059E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10.398.113</w:t>
            </w:r>
          </w:p>
        </w:tc>
        <w:tc>
          <w:tcPr>
            <w:tcW w:w="1756" w:type="dxa"/>
            <w:noWrap/>
            <w:vAlign w:val="bottom"/>
          </w:tcPr>
          <w:p w14:paraId="45D059E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93.109</w:t>
            </w:r>
          </w:p>
        </w:tc>
        <w:tc>
          <w:tcPr>
            <w:tcW w:w="1756" w:type="dxa"/>
            <w:noWrap/>
            <w:vAlign w:val="bottom"/>
          </w:tcPr>
          <w:p w14:paraId="45D059E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16.167.887</w:t>
            </w:r>
          </w:p>
        </w:tc>
      </w:tr>
      <w:tr w:rsidR="00496804" w14:paraId="45D059EB" w14:textId="77777777">
        <w:trPr>
          <w:trHeight w:val="300"/>
        </w:trPr>
        <w:tc>
          <w:tcPr>
            <w:tcW w:w="2344" w:type="dxa"/>
            <w:shd w:val="clear" w:color="auto" w:fill="FFCCA6" w:themeFill="accent5" w:themeFillTint="66"/>
            <w:noWrap/>
            <w:vAlign w:val="bottom"/>
          </w:tcPr>
          <w:p w14:paraId="45D059E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1981. - 1987.</w:t>
            </w:r>
          </w:p>
        </w:tc>
        <w:tc>
          <w:tcPr>
            <w:tcW w:w="1463" w:type="dxa"/>
            <w:noWrap/>
            <w:vAlign w:val="bottom"/>
          </w:tcPr>
          <w:p w14:paraId="45D059E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44.434</w:t>
            </w:r>
          </w:p>
        </w:tc>
        <w:tc>
          <w:tcPr>
            <w:tcW w:w="2025" w:type="dxa"/>
            <w:noWrap/>
            <w:vAlign w:val="bottom"/>
          </w:tcPr>
          <w:p w14:paraId="45D059E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9.401.527</w:t>
            </w:r>
          </w:p>
        </w:tc>
        <w:tc>
          <w:tcPr>
            <w:tcW w:w="1756" w:type="dxa"/>
            <w:noWrap/>
            <w:vAlign w:val="bottom"/>
          </w:tcPr>
          <w:p w14:paraId="45D059E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68.348</w:t>
            </w:r>
          </w:p>
        </w:tc>
        <w:tc>
          <w:tcPr>
            <w:tcW w:w="1756" w:type="dxa"/>
            <w:noWrap/>
            <w:vAlign w:val="bottom"/>
          </w:tcPr>
          <w:p w14:paraId="45D059E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14.461.473</w:t>
            </w:r>
          </w:p>
        </w:tc>
      </w:tr>
      <w:tr w:rsidR="00496804" w14:paraId="45D059F1" w14:textId="77777777">
        <w:trPr>
          <w:trHeight w:val="300"/>
        </w:trPr>
        <w:tc>
          <w:tcPr>
            <w:tcW w:w="2344" w:type="dxa"/>
            <w:shd w:val="clear" w:color="auto" w:fill="FFCCA6" w:themeFill="accent5" w:themeFillTint="66"/>
            <w:noWrap/>
            <w:vAlign w:val="bottom"/>
          </w:tcPr>
          <w:p w14:paraId="45D059E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1988. - 2005.</w:t>
            </w:r>
          </w:p>
        </w:tc>
        <w:tc>
          <w:tcPr>
            <w:tcW w:w="1463" w:type="dxa"/>
            <w:noWrap/>
            <w:vAlign w:val="bottom"/>
          </w:tcPr>
          <w:p w14:paraId="45D059E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38.358</w:t>
            </w:r>
          </w:p>
        </w:tc>
        <w:tc>
          <w:tcPr>
            <w:tcW w:w="2025" w:type="dxa"/>
            <w:noWrap/>
            <w:vAlign w:val="bottom"/>
          </w:tcPr>
          <w:p w14:paraId="45D059E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8.177.401</w:t>
            </w:r>
          </w:p>
        </w:tc>
        <w:tc>
          <w:tcPr>
            <w:tcW w:w="1756" w:type="dxa"/>
            <w:noWrap/>
            <w:vAlign w:val="bottom"/>
          </w:tcPr>
          <w:p w14:paraId="45D059E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75.615</w:t>
            </w:r>
          </w:p>
        </w:tc>
        <w:tc>
          <w:tcPr>
            <w:tcW w:w="1756" w:type="dxa"/>
            <w:noWrap/>
            <w:vAlign w:val="bottom"/>
          </w:tcPr>
          <w:p w14:paraId="45D059F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16.120.249</w:t>
            </w:r>
          </w:p>
        </w:tc>
      </w:tr>
      <w:tr w:rsidR="00496804" w14:paraId="45D059F7" w14:textId="77777777">
        <w:trPr>
          <w:trHeight w:val="300"/>
        </w:trPr>
        <w:tc>
          <w:tcPr>
            <w:tcW w:w="2344" w:type="dxa"/>
            <w:shd w:val="clear" w:color="auto" w:fill="FFCCA6" w:themeFill="accent5" w:themeFillTint="66"/>
            <w:noWrap/>
            <w:vAlign w:val="bottom"/>
          </w:tcPr>
          <w:p w14:paraId="45D059F2"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2006. – 2009.</w:t>
            </w:r>
          </w:p>
        </w:tc>
        <w:tc>
          <w:tcPr>
            <w:tcW w:w="1463" w:type="dxa"/>
            <w:noWrap/>
            <w:vAlign w:val="bottom"/>
          </w:tcPr>
          <w:p w14:paraId="45D059F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18.256</w:t>
            </w:r>
          </w:p>
        </w:tc>
        <w:tc>
          <w:tcPr>
            <w:tcW w:w="2025" w:type="dxa"/>
            <w:noWrap/>
            <w:vAlign w:val="bottom"/>
          </w:tcPr>
          <w:p w14:paraId="45D059F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6.199.252</w:t>
            </w:r>
          </w:p>
        </w:tc>
        <w:tc>
          <w:tcPr>
            <w:tcW w:w="1756" w:type="dxa"/>
            <w:noWrap/>
            <w:vAlign w:val="bottom"/>
          </w:tcPr>
          <w:p w14:paraId="45D059F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13.762</w:t>
            </w:r>
          </w:p>
        </w:tc>
        <w:tc>
          <w:tcPr>
            <w:tcW w:w="1756" w:type="dxa"/>
            <w:noWrap/>
            <w:vAlign w:val="bottom"/>
          </w:tcPr>
          <w:p w14:paraId="45D059F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4.673.079</w:t>
            </w:r>
          </w:p>
        </w:tc>
      </w:tr>
      <w:tr w:rsidR="00496804" w14:paraId="45D059FD" w14:textId="77777777">
        <w:trPr>
          <w:trHeight w:val="300"/>
        </w:trPr>
        <w:tc>
          <w:tcPr>
            <w:tcW w:w="2344" w:type="dxa"/>
            <w:shd w:val="clear" w:color="auto" w:fill="FFCCA6" w:themeFill="accent5" w:themeFillTint="66"/>
            <w:noWrap/>
            <w:vAlign w:val="bottom"/>
          </w:tcPr>
          <w:p w14:paraId="45D059F8"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2010. - 2011.</w:t>
            </w:r>
          </w:p>
        </w:tc>
        <w:tc>
          <w:tcPr>
            <w:tcW w:w="1463" w:type="dxa"/>
            <w:noWrap/>
            <w:vAlign w:val="bottom"/>
          </w:tcPr>
          <w:p w14:paraId="45D059F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6.600</w:t>
            </w:r>
          </w:p>
        </w:tc>
        <w:tc>
          <w:tcPr>
            <w:tcW w:w="2025" w:type="dxa"/>
            <w:noWrap/>
            <w:vAlign w:val="bottom"/>
          </w:tcPr>
          <w:p w14:paraId="45D059F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1.957.449</w:t>
            </w:r>
          </w:p>
        </w:tc>
        <w:tc>
          <w:tcPr>
            <w:tcW w:w="1756" w:type="dxa"/>
            <w:noWrap/>
            <w:vAlign w:val="bottom"/>
          </w:tcPr>
          <w:p w14:paraId="45D059F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4.976</w:t>
            </w:r>
          </w:p>
        </w:tc>
        <w:tc>
          <w:tcPr>
            <w:tcW w:w="1756" w:type="dxa"/>
            <w:noWrap/>
            <w:vAlign w:val="bottom"/>
          </w:tcPr>
          <w:p w14:paraId="45D059F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1.475.551</w:t>
            </w:r>
          </w:p>
        </w:tc>
      </w:tr>
      <w:tr w:rsidR="00496804" w14:paraId="45D05A03" w14:textId="77777777">
        <w:trPr>
          <w:trHeight w:val="300"/>
        </w:trPr>
        <w:tc>
          <w:tcPr>
            <w:tcW w:w="2344" w:type="dxa"/>
            <w:shd w:val="clear" w:color="auto" w:fill="FFCCA6" w:themeFill="accent5" w:themeFillTint="66"/>
            <w:noWrap/>
            <w:vAlign w:val="bottom"/>
          </w:tcPr>
          <w:p w14:paraId="45D059FE"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2012. - 2018.</w:t>
            </w:r>
          </w:p>
        </w:tc>
        <w:tc>
          <w:tcPr>
            <w:tcW w:w="1463" w:type="dxa"/>
            <w:noWrap/>
            <w:vAlign w:val="bottom"/>
          </w:tcPr>
          <w:p w14:paraId="45D059F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5.646</w:t>
            </w:r>
          </w:p>
        </w:tc>
        <w:tc>
          <w:tcPr>
            <w:tcW w:w="2025" w:type="dxa"/>
            <w:noWrap/>
            <w:vAlign w:val="bottom"/>
          </w:tcPr>
          <w:p w14:paraId="45D05A0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1.674.402</w:t>
            </w:r>
          </w:p>
        </w:tc>
        <w:tc>
          <w:tcPr>
            <w:tcW w:w="1756" w:type="dxa"/>
            <w:noWrap/>
            <w:vAlign w:val="bottom"/>
          </w:tcPr>
          <w:p w14:paraId="45D05A0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10.365</w:t>
            </w:r>
          </w:p>
        </w:tc>
        <w:tc>
          <w:tcPr>
            <w:tcW w:w="1756" w:type="dxa"/>
            <w:noWrap/>
            <w:vAlign w:val="bottom"/>
          </w:tcPr>
          <w:p w14:paraId="45D05A0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3.073.599</w:t>
            </w:r>
          </w:p>
        </w:tc>
      </w:tr>
      <w:tr w:rsidR="00496804" w14:paraId="45D05A09" w14:textId="77777777">
        <w:trPr>
          <w:trHeight w:val="300"/>
        </w:trPr>
        <w:tc>
          <w:tcPr>
            <w:tcW w:w="2344" w:type="dxa"/>
            <w:shd w:val="clear" w:color="auto" w:fill="FFCCA6" w:themeFill="accent5" w:themeFillTint="66"/>
            <w:noWrap/>
            <w:vAlign w:val="bottom"/>
          </w:tcPr>
          <w:p w14:paraId="45D05A04"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ukupno 2018.</w:t>
            </w:r>
          </w:p>
        </w:tc>
        <w:tc>
          <w:tcPr>
            <w:tcW w:w="1463" w:type="dxa"/>
            <w:noWrap/>
            <w:vAlign w:val="bottom"/>
          </w:tcPr>
          <w:p w14:paraId="45D05A05"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296.336</w:t>
            </w:r>
          </w:p>
        </w:tc>
        <w:tc>
          <w:tcPr>
            <w:tcW w:w="2025" w:type="dxa"/>
            <w:noWrap/>
            <w:vAlign w:val="bottom"/>
          </w:tcPr>
          <w:p w14:paraId="45D05A06"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57.112.464</w:t>
            </w:r>
          </w:p>
        </w:tc>
        <w:tc>
          <w:tcPr>
            <w:tcW w:w="1756" w:type="dxa"/>
            <w:noWrap/>
            <w:vAlign w:val="bottom"/>
          </w:tcPr>
          <w:p w14:paraId="45D05A07"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482.073</w:t>
            </w:r>
          </w:p>
        </w:tc>
        <w:tc>
          <w:tcPr>
            <w:tcW w:w="1756" w:type="dxa"/>
            <w:noWrap/>
            <w:vAlign w:val="bottom"/>
          </w:tcPr>
          <w:p w14:paraId="45D05A08"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89.812.215</w:t>
            </w:r>
          </w:p>
        </w:tc>
      </w:tr>
    </w:tbl>
    <w:p w14:paraId="45D05A0A" w14:textId="77777777" w:rsidR="00496804" w:rsidRDefault="00496804">
      <w:pPr>
        <w:tabs>
          <w:tab w:val="left" w:pos="431"/>
        </w:tabs>
        <w:spacing w:line="240" w:lineRule="auto"/>
        <w:ind w:left="3"/>
        <w:rPr>
          <w:rFonts w:ascii="Times New Roman" w:hAnsi="Times New Roman"/>
          <w:sz w:val="24"/>
          <w:lang w:eastAsia="hr-HR"/>
        </w:rPr>
      </w:pPr>
    </w:p>
    <w:p w14:paraId="45D05A0C"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8. Nestambeni fond RH prema godini izgradnje</w:t>
      </w:r>
    </w:p>
    <w:tbl>
      <w:tblPr>
        <w:tblStyle w:val="Reetkatablice2"/>
        <w:tblW w:w="5000" w:type="pct"/>
        <w:tblLook w:val="04A0" w:firstRow="1" w:lastRow="0" w:firstColumn="1" w:lastColumn="0" w:noHBand="0" w:noVBand="1"/>
      </w:tblPr>
      <w:tblGrid>
        <w:gridCol w:w="1923"/>
        <w:gridCol w:w="1924"/>
        <w:gridCol w:w="1925"/>
        <w:gridCol w:w="1925"/>
        <w:gridCol w:w="1925"/>
      </w:tblGrid>
      <w:tr w:rsidR="00496804" w14:paraId="45D05A10" w14:textId="77777777">
        <w:trPr>
          <w:trHeight w:val="300"/>
        </w:trPr>
        <w:tc>
          <w:tcPr>
            <w:tcW w:w="1923" w:type="dxa"/>
            <w:vMerge w:val="restart"/>
            <w:shd w:val="clear" w:color="auto" w:fill="FFCCA6" w:themeFill="accent5" w:themeFillTint="66"/>
            <w:noWrap/>
          </w:tcPr>
          <w:p w14:paraId="45D05A0D" w14:textId="77777777" w:rsidR="00496804" w:rsidRDefault="00496804">
            <w:pPr>
              <w:tabs>
                <w:tab w:val="left" w:pos="431"/>
              </w:tabs>
              <w:spacing w:line="240" w:lineRule="auto"/>
              <w:ind w:left="3"/>
              <w:rPr>
                <w:rFonts w:ascii="Times New Roman" w:hAnsi="Times New Roman"/>
                <w:sz w:val="24"/>
                <w:lang w:eastAsia="hr-HR"/>
              </w:rPr>
            </w:pPr>
          </w:p>
        </w:tc>
        <w:tc>
          <w:tcPr>
            <w:tcW w:w="3849" w:type="dxa"/>
            <w:gridSpan w:val="2"/>
            <w:shd w:val="clear" w:color="auto" w:fill="FFCCA6" w:themeFill="accent5" w:themeFillTint="66"/>
            <w:noWrap/>
          </w:tcPr>
          <w:p w14:paraId="45D05A0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komercijalne</w:t>
            </w:r>
          </w:p>
        </w:tc>
        <w:tc>
          <w:tcPr>
            <w:tcW w:w="3850" w:type="dxa"/>
            <w:gridSpan w:val="2"/>
            <w:shd w:val="clear" w:color="auto" w:fill="FFCCA6" w:themeFill="accent5" w:themeFillTint="66"/>
            <w:noWrap/>
          </w:tcPr>
          <w:p w14:paraId="45D05A0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javne</w:t>
            </w:r>
          </w:p>
        </w:tc>
      </w:tr>
      <w:tr w:rsidR="00496804" w14:paraId="45D05A16" w14:textId="77777777">
        <w:trPr>
          <w:trHeight w:val="300"/>
        </w:trPr>
        <w:tc>
          <w:tcPr>
            <w:tcW w:w="1923" w:type="dxa"/>
            <w:vMerge/>
            <w:shd w:val="clear" w:color="auto" w:fill="FFCCA6" w:themeFill="accent5" w:themeFillTint="66"/>
            <w:noWrap/>
          </w:tcPr>
          <w:p w14:paraId="45D05A11" w14:textId="77777777" w:rsidR="00496804" w:rsidRDefault="00496804">
            <w:pPr>
              <w:tabs>
                <w:tab w:val="left" w:pos="431"/>
              </w:tabs>
              <w:spacing w:line="240" w:lineRule="auto"/>
              <w:ind w:left="3"/>
              <w:rPr>
                <w:rFonts w:ascii="Times New Roman" w:hAnsi="Times New Roman"/>
                <w:sz w:val="24"/>
                <w:lang w:eastAsia="hr-HR"/>
              </w:rPr>
            </w:pPr>
          </w:p>
        </w:tc>
        <w:tc>
          <w:tcPr>
            <w:tcW w:w="1924" w:type="dxa"/>
            <w:shd w:val="clear" w:color="auto" w:fill="FFCCA6" w:themeFill="accent5" w:themeFillTint="66"/>
            <w:noWrap/>
          </w:tcPr>
          <w:p w14:paraId="45D05A1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broj zgrada</w:t>
            </w:r>
          </w:p>
        </w:tc>
        <w:tc>
          <w:tcPr>
            <w:tcW w:w="1925" w:type="dxa"/>
            <w:shd w:val="clear" w:color="auto" w:fill="FFCCA6" w:themeFill="accent5" w:themeFillTint="66"/>
            <w:noWrap/>
          </w:tcPr>
          <w:p w14:paraId="45D05A1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površina</w:t>
            </w:r>
          </w:p>
        </w:tc>
        <w:tc>
          <w:tcPr>
            <w:tcW w:w="1925" w:type="dxa"/>
            <w:shd w:val="clear" w:color="auto" w:fill="FFCCA6" w:themeFill="accent5" w:themeFillTint="66"/>
            <w:noWrap/>
          </w:tcPr>
          <w:p w14:paraId="45D05A1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broja zgrada</w:t>
            </w:r>
          </w:p>
        </w:tc>
        <w:tc>
          <w:tcPr>
            <w:tcW w:w="1925" w:type="dxa"/>
            <w:shd w:val="clear" w:color="auto" w:fill="FFCCA6" w:themeFill="accent5" w:themeFillTint="66"/>
            <w:noWrap/>
          </w:tcPr>
          <w:p w14:paraId="45D05A1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površina</w:t>
            </w:r>
          </w:p>
        </w:tc>
      </w:tr>
      <w:tr w:rsidR="00496804" w14:paraId="45D05A1C" w14:textId="77777777">
        <w:trPr>
          <w:trHeight w:val="300"/>
        </w:trPr>
        <w:tc>
          <w:tcPr>
            <w:tcW w:w="1923" w:type="dxa"/>
            <w:vMerge/>
            <w:shd w:val="clear" w:color="auto" w:fill="FFCCA6" w:themeFill="accent5" w:themeFillTint="66"/>
            <w:noWrap/>
          </w:tcPr>
          <w:p w14:paraId="45D05A17" w14:textId="77777777" w:rsidR="00496804" w:rsidRDefault="00496804">
            <w:pPr>
              <w:tabs>
                <w:tab w:val="left" w:pos="431"/>
              </w:tabs>
              <w:spacing w:line="240" w:lineRule="auto"/>
              <w:ind w:left="3"/>
              <w:rPr>
                <w:rFonts w:ascii="Times New Roman" w:hAnsi="Times New Roman"/>
                <w:sz w:val="24"/>
                <w:lang w:eastAsia="hr-HR"/>
              </w:rPr>
            </w:pPr>
          </w:p>
        </w:tc>
        <w:tc>
          <w:tcPr>
            <w:tcW w:w="1924" w:type="dxa"/>
            <w:shd w:val="clear" w:color="auto" w:fill="FFCCA6" w:themeFill="accent5" w:themeFillTint="66"/>
            <w:noWrap/>
          </w:tcPr>
          <w:p w14:paraId="45D05A1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w:t>
            </w:r>
          </w:p>
        </w:tc>
        <w:tc>
          <w:tcPr>
            <w:tcW w:w="1925" w:type="dxa"/>
            <w:shd w:val="clear" w:color="auto" w:fill="FFCCA6" w:themeFill="accent5" w:themeFillTint="66"/>
            <w:noWrap/>
          </w:tcPr>
          <w:p w14:paraId="45D05A1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m²</w:t>
            </w:r>
          </w:p>
        </w:tc>
        <w:tc>
          <w:tcPr>
            <w:tcW w:w="1925" w:type="dxa"/>
            <w:shd w:val="clear" w:color="auto" w:fill="FFCCA6" w:themeFill="accent5" w:themeFillTint="66"/>
            <w:noWrap/>
          </w:tcPr>
          <w:p w14:paraId="45D05A1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w:t>
            </w:r>
          </w:p>
        </w:tc>
        <w:tc>
          <w:tcPr>
            <w:tcW w:w="1925" w:type="dxa"/>
            <w:shd w:val="clear" w:color="auto" w:fill="FFCCA6" w:themeFill="accent5" w:themeFillTint="66"/>
            <w:noWrap/>
          </w:tcPr>
          <w:p w14:paraId="45D05A1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m²</w:t>
            </w:r>
          </w:p>
        </w:tc>
      </w:tr>
      <w:tr w:rsidR="00496804" w14:paraId="45D05A22" w14:textId="77777777">
        <w:trPr>
          <w:trHeight w:val="300"/>
        </w:trPr>
        <w:tc>
          <w:tcPr>
            <w:tcW w:w="1923" w:type="dxa"/>
            <w:shd w:val="clear" w:color="auto" w:fill="FFCCA6" w:themeFill="accent5" w:themeFillTint="66"/>
            <w:noWrap/>
          </w:tcPr>
          <w:p w14:paraId="45D05A1D"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do 1941.</w:t>
            </w:r>
          </w:p>
        </w:tc>
        <w:tc>
          <w:tcPr>
            <w:tcW w:w="1924" w:type="dxa"/>
            <w:shd w:val="clear" w:color="auto" w:fill="auto"/>
            <w:noWrap/>
          </w:tcPr>
          <w:p w14:paraId="45D05A1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2.338</w:t>
            </w:r>
          </w:p>
        </w:tc>
        <w:tc>
          <w:tcPr>
            <w:tcW w:w="1925" w:type="dxa"/>
            <w:shd w:val="clear" w:color="auto" w:fill="auto"/>
            <w:noWrap/>
          </w:tcPr>
          <w:p w14:paraId="45D05A1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1.498.159</w:t>
            </w:r>
          </w:p>
        </w:tc>
        <w:tc>
          <w:tcPr>
            <w:tcW w:w="1925" w:type="dxa"/>
            <w:shd w:val="clear" w:color="auto" w:fill="auto"/>
            <w:noWrap/>
          </w:tcPr>
          <w:p w14:paraId="45D05A20"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12.365</w:t>
            </w:r>
          </w:p>
        </w:tc>
        <w:tc>
          <w:tcPr>
            <w:tcW w:w="1925" w:type="dxa"/>
            <w:shd w:val="clear" w:color="auto" w:fill="auto"/>
            <w:noWrap/>
          </w:tcPr>
          <w:p w14:paraId="45D05A21"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1.545.813</w:t>
            </w:r>
          </w:p>
        </w:tc>
      </w:tr>
      <w:tr w:rsidR="00496804" w14:paraId="45D05A28" w14:textId="77777777">
        <w:trPr>
          <w:trHeight w:val="300"/>
        </w:trPr>
        <w:tc>
          <w:tcPr>
            <w:tcW w:w="1923" w:type="dxa"/>
            <w:shd w:val="clear" w:color="auto" w:fill="FFCCA6" w:themeFill="accent5" w:themeFillTint="66"/>
            <w:noWrap/>
          </w:tcPr>
          <w:p w14:paraId="45D05A23"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1941. - 1970.</w:t>
            </w:r>
          </w:p>
        </w:tc>
        <w:tc>
          <w:tcPr>
            <w:tcW w:w="1924" w:type="dxa"/>
            <w:noWrap/>
          </w:tcPr>
          <w:p w14:paraId="45D05A2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12.587</w:t>
            </w:r>
          </w:p>
        </w:tc>
        <w:tc>
          <w:tcPr>
            <w:tcW w:w="1925" w:type="dxa"/>
            <w:noWrap/>
          </w:tcPr>
          <w:p w14:paraId="45D05A2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8.064.602</w:t>
            </w:r>
          </w:p>
        </w:tc>
        <w:tc>
          <w:tcPr>
            <w:tcW w:w="1925" w:type="dxa"/>
            <w:noWrap/>
          </w:tcPr>
          <w:p w14:paraId="45D05A26"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22.525</w:t>
            </w:r>
          </w:p>
        </w:tc>
        <w:tc>
          <w:tcPr>
            <w:tcW w:w="1925" w:type="dxa"/>
            <w:noWrap/>
          </w:tcPr>
          <w:p w14:paraId="45D05A27"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2.815.845</w:t>
            </w:r>
          </w:p>
        </w:tc>
      </w:tr>
      <w:tr w:rsidR="00496804" w14:paraId="45D05A2E" w14:textId="77777777">
        <w:trPr>
          <w:trHeight w:val="300"/>
        </w:trPr>
        <w:tc>
          <w:tcPr>
            <w:tcW w:w="1923" w:type="dxa"/>
            <w:shd w:val="clear" w:color="auto" w:fill="FFCCA6" w:themeFill="accent5" w:themeFillTint="66"/>
            <w:noWrap/>
          </w:tcPr>
          <w:p w14:paraId="45D05A29"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1971. - 1980.</w:t>
            </w:r>
          </w:p>
        </w:tc>
        <w:tc>
          <w:tcPr>
            <w:tcW w:w="1924" w:type="dxa"/>
            <w:noWrap/>
          </w:tcPr>
          <w:p w14:paraId="45D05A2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6.733</w:t>
            </w:r>
          </w:p>
        </w:tc>
        <w:tc>
          <w:tcPr>
            <w:tcW w:w="1925" w:type="dxa"/>
            <w:noWrap/>
          </w:tcPr>
          <w:p w14:paraId="45D05A2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5.251.934</w:t>
            </w:r>
          </w:p>
        </w:tc>
        <w:tc>
          <w:tcPr>
            <w:tcW w:w="1925" w:type="dxa"/>
            <w:noWrap/>
          </w:tcPr>
          <w:p w14:paraId="45D05A2C"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19.021</w:t>
            </w:r>
          </w:p>
        </w:tc>
        <w:tc>
          <w:tcPr>
            <w:tcW w:w="1925" w:type="dxa"/>
            <w:noWrap/>
          </w:tcPr>
          <w:p w14:paraId="45D05A2D"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1.882.000</w:t>
            </w:r>
          </w:p>
        </w:tc>
      </w:tr>
      <w:tr w:rsidR="00496804" w14:paraId="45D05A34" w14:textId="77777777">
        <w:trPr>
          <w:trHeight w:val="300"/>
        </w:trPr>
        <w:tc>
          <w:tcPr>
            <w:tcW w:w="1923" w:type="dxa"/>
            <w:shd w:val="clear" w:color="auto" w:fill="FFCCA6" w:themeFill="accent5" w:themeFillTint="66"/>
            <w:noWrap/>
          </w:tcPr>
          <w:p w14:paraId="45D05A2F"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1981. - 1987.</w:t>
            </w:r>
          </w:p>
        </w:tc>
        <w:tc>
          <w:tcPr>
            <w:tcW w:w="1924" w:type="dxa"/>
            <w:noWrap/>
          </w:tcPr>
          <w:p w14:paraId="45D05A30"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4.323</w:t>
            </w:r>
          </w:p>
        </w:tc>
        <w:tc>
          <w:tcPr>
            <w:tcW w:w="1925" w:type="dxa"/>
            <w:noWrap/>
          </w:tcPr>
          <w:p w14:paraId="45D05A31"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5.108.279</w:t>
            </w:r>
          </w:p>
        </w:tc>
        <w:tc>
          <w:tcPr>
            <w:tcW w:w="1925" w:type="dxa"/>
            <w:noWrap/>
          </w:tcPr>
          <w:p w14:paraId="45D05A3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10.158</w:t>
            </w:r>
          </w:p>
        </w:tc>
        <w:tc>
          <w:tcPr>
            <w:tcW w:w="1925" w:type="dxa"/>
            <w:noWrap/>
          </w:tcPr>
          <w:p w14:paraId="45D05A3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2.152.000</w:t>
            </w:r>
          </w:p>
        </w:tc>
      </w:tr>
      <w:tr w:rsidR="00496804" w14:paraId="45D05A3A" w14:textId="77777777">
        <w:trPr>
          <w:trHeight w:val="300"/>
        </w:trPr>
        <w:tc>
          <w:tcPr>
            <w:tcW w:w="1923" w:type="dxa"/>
            <w:shd w:val="clear" w:color="auto" w:fill="FFCCA6" w:themeFill="accent5" w:themeFillTint="66"/>
            <w:noWrap/>
          </w:tcPr>
          <w:p w14:paraId="45D05A35"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1988. - 2005.</w:t>
            </w:r>
          </w:p>
        </w:tc>
        <w:tc>
          <w:tcPr>
            <w:tcW w:w="1924" w:type="dxa"/>
            <w:noWrap/>
          </w:tcPr>
          <w:p w14:paraId="45D05A36"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10.596</w:t>
            </w:r>
          </w:p>
        </w:tc>
        <w:tc>
          <w:tcPr>
            <w:tcW w:w="1925" w:type="dxa"/>
            <w:noWrap/>
          </w:tcPr>
          <w:p w14:paraId="45D05A37"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8.107.287</w:t>
            </w:r>
          </w:p>
        </w:tc>
        <w:tc>
          <w:tcPr>
            <w:tcW w:w="1925" w:type="dxa"/>
            <w:noWrap/>
          </w:tcPr>
          <w:p w14:paraId="45D05A3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11.059</w:t>
            </w:r>
          </w:p>
        </w:tc>
        <w:tc>
          <w:tcPr>
            <w:tcW w:w="1925" w:type="dxa"/>
            <w:noWrap/>
          </w:tcPr>
          <w:p w14:paraId="45D05A3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2.722.497</w:t>
            </w:r>
          </w:p>
        </w:tc>
      </w:tr>
      <w:tr w:rsidR="00496804" w14:paraId="45D05A40" w14:textId="77777777">
        <w:trPr>
          <w:trHeight w:val="300"/>
        </w:trPr>
        <w:tc>
          <w:tcPr>
            <w:tcW w:w="1923" w:type="dxa"/>
            <w:shd w:val="clear" w:color="auto" w:fill="FFCCA6" w:themeFill="accent5" w:themeFillTint="66"/>
            <w:noWrap/>
          </w:tcPr>
          <w:p w14:paraId="45D05A3B"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2006. – 2009.</w:t>
            </w:r>
          </w:p>
        </w:tc>
        <w:tc>
          <w:tcPr>
            <w:tcW w:w="1924" w:type="dxa"/>
            <w:noWrap/>
          </w:tcPr>
          <w:p w14:paraId="45D05A3C"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6.199</w:t>
            </w:r>
          </w:p>
        </w:tc>
        <w:tc>
          <w:tcPr>
            <w:tcW w:w="1925" w:type="dxa"/>
            <w:noWrap/>
          </w:tcPr>
          <w:p w14:paraId="45D05A3D"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6.352.000</w:t>
            </w:r>
          </w:p>
        </w:tc>
        <w:tc>
          <w:tcPr>
            <w:tcW w:w="1925" w:type="dxa"/>
            <w:noWrap/>
          </w:tcPr>
          <w:p w14:paraId="45D05A3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3.673</w:t>
            </w:r>
          </w:p>
        </w:tc>
        <w:tc>
          <w:tcPr>
            <w:tcW w:w="1925" w:type="dxa"/>
            <w:noWrap/>
          </w:tcPr>
          <w:p w14:paraId="45D05A3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2.073.747</w:t>
            </w:r>
          </w:p>
        </w:tc>
      </w:tr>
      <w:tr w:rsidR="00496804" w14:paraId="45D05A46" w14:textId="77777777">
        <w:trPr>
          <w:trHeight w:val="300"/>
        </w:trPr>
        <w:tc>
          <w:tcPr>
            <w:tcW w:w="1923" w:type="dxa"/>
            <w:shd w:val="clear" w:color="auto" w:fill="FFCCA6" w:themeFill="accent5" w:themeFillTint="66"/>
            <w:noWrap/>
          </w:tcPr>
          <w:p w14:paraId="45D05A41"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2010. - 2011.</w:t>
            </w:r>
          </w:p>
        </w:tc>
        <w:tc>
          <w:tcPr>
            <w:tcW w:w="1924" w:type="dxa"/>
            <w:noWrap/>
          </w:tcPr>
          <w:p w14:paraId="45D05A4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1.952</w:t>
            </w:r>
          </w:p>
        </w:tc>
        <w:tc>
          <w:tcPr>
            <w:tcW w:w="1925" w:type="dxa"/>
            <w:noWrap/>
          </w:tcPr>
          <w:p w14:paraId="45D05A4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2.158.198</w:t>
            </w:r>
          </w:p>
        </w:tc>
        <w:tc>
          <w:tcPr>
            <w:tcW w:w="1925" w:type="dxa"/>
            <w:noWrap/>
          </w:tcPr>
          <w:p w14:paraId="45D05A4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1.395</w:t>
            </w:r>
          </w:p>
        </w:tc>
        <w:tc>
          <w:tcPr>
            <w:tcW w:w="1925" w:type="dxa"/>
            <w:noWrap/>
          </w:tcPr>
          <w:p w14:paraId="45D05A4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610.000</w:t>
            </w:r>
          </w:p>
        </w:tc>
      </w:tr>
      <w:tr w:rsidR="00496804" w14:paraId="45D05A4C" w14:textId="77777777">
        <w:trPr>
          <w:trHeight w:val="300"/>
        </w:trPr>
        <w:tc>
          <w:tcPr>
            <w:tcW w:w="1923" w:type="dxa"/>
            <w:shd w:val="clear" w:color="auto" w:fill="FFCCA6" w:themeFill="accent5" w:themeFillTint="66"/>
            <w:noWrap/>
          </w:tcPr>
          <w:p w14:paraId="45D05A47"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de-DE"/>
              </w:rPr>
              <w:t>2012. - 2018.</w:t>
            </w:r>
          </w:p>
        </w:tc>
        <w:tc>
          <w:tcPr>
            <w:tcW w:w="1924" w:type="dxa"/>
            <w:noWrap/>
          </w:tcPr>
          <w:p w14:paraId="45D05A4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6.354</w:t>
            </w:r>
          </w:p>
        </w:tc>
        <w:tc>
          <w:tcPr>
            <w:tcW w:w="1925" w:type="dxa"/>
            <w:noWrap/>
          </w:tcPr>
          <w:p w14:paraId="45D05A4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5.190.616</w:t>
            </w:r>
          </w:p>
        </w:tc>
        <w:tc>
          <w:tcPr>
            <w:tcW w:w="1925" w:type="dxa"/>
            <w:noWrap/>
          </w:tcPr>
          <w:p w14:paraId="45D05A4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11.392</w:t>
            </w:r>
          </w:p>
        </w:tc>
        <w:tc>
          <w:tcPr>
            <w:tcW w:w="1925" w:type="dxa"/>
            <w:noWrap/>
          </w:tcPr>
          <w:p w14:paraId="45D05A4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1.960.577</w:t>
            </w:r>
          </w:p>
        </w:tc>
      </w:tr>
      <w:tr w:rsidR="00496804" w14:paraId="45D05A52" w14:textId="77777777">
        <w:trPr>
          <w:trHeight w:val="300"/>
        </w:trPr>
        <w:tc>
          <w:tcPr>
            <w:tcW w:w="1923" w:type="dxa"/>
            <w:shd w:val="clear" w:color="auto" w:fill="FFCCA6" w:themeFill="accent5" w:themeFillTint="66"/>
            <w:noWrap/>
          </w:tcPr>
          <w:p w14:paraId="45D05A4D" w14:textId="77777777" w:rsidR="00496804" w:rsidRDefault="0037359D">
            <w:pPr>
              <w:tabs>
                <w:tab w:val="left" w:pos="431"/>
              </w:tabs>
              <w:spacing w:line="240" w:lineRule="auto"/>
              <w:ind w:left="3"/>
              <w:rPr>
                <w:rFonts w:ascii="Times New Roman" w:hAnsi="Times New Roman"/>
                <w:b/>
                <w:bCs/>
                <w:sz w:val="24"/>
                <w:lang w:eastAsia="hr-HR"/>
              </w:rPr>
            </w:pPr>
            <w:r>
              <w:rPr>
                <w:rFonts w:ascii="Times New Roman" w:hAnsi="Times New Roman"/>
                <w:b/>
                <w:bCs/>
                <w:sz w:val="24"/>
                <w:lang w:eastAsia="de-DE"/>
              </w:rPr>
              <w:t>ukupno 2018.</w:t>
            </w:r>
          </w:p>
        </w:tc>
        <w:tc>
          <w:tcPr>
            <w:tcW w:w="1924" w:type="dxa"/>
            <w:noWrap/>
          </w:tcPr>
          <w:p w14:paraId="45D05A4E"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51.082</w:t>
            </w:r>
          </w:p>
        </w:tc>
        <w:tc>
          <w:tcPr>
            <w:tcW w:w="1925" w:type="dxa"/>
            <w:noWrap/>
          </w:tcPr>
          <w:p w14:paraId="45D05A4F"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41.731.075</w:t>
            </w:r>
          </w:p>
        </w:tc>
        <w:tc>
          <w:tcPr>
            <w:tcW w:w="1925" w:type="dxa"/>
            <w:noWrap/>
          </w:tcPr>
          <w:p w14:paraId="45D05A50"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91.588</w:t>
            </w:r>
          </w:p>
        </w:tc>
        <w:tc>
          <w:tcPr>
            <w:tcW w:w="1925" w:type="dxa"/>
            <w:noWrap/>
          </w:tcPr>
          <w:p w14:paraId="45D05A51"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15.762.479</w:t>
            </w:r>
          </w:p>
        </w:tc>
      </w:tr>
    </w:tbl>
    <w:p w14:paraId="45D05A54" w14:textId="4AD50F60" w:rsidR="00496804" w:rsidRDefault="0037359D">
      <w:pPr>
        <w:tabs>
          <w:tab w:val="left" w:pos="431"/>
        </w:tabs>
        <w:spacing w:line="240" w:lineRule="auto"/>
        <w:ind w:left="3"/>
        <w:rPr>
          <w:rFonts w:ascii="Times New Roman" w:hAnsi="Times New Roman"/>
          <w:sz w:val="24"/>
        </w:rPr>
      </w:pPr>
      <w:r>
        <w:rPr>
          <w:rFonts w:ascii="Times New Roman" w:hAnsi="Times New Roman"/>
          <w:sz w:val="24"/>
        </w:rPr>
        <w:lastRenderedPageBreak/>
        <w:t>Analizom dostupnih podataka iz Dugoročne strategije, slijedi zaključak da sadašnji nacionalni fond zgrada čini 921.079 zgrada, ukupne površine 204.418.233 m</w:t>
      </w:r>
      <w:r>
        <w:rPr>
          <w:rFonts w:ascii="Times New Roman" w:hAnsi="Times New Roman"/>
          <w:sz w:val="24"/>
          <w:vertAlign w:val="superscript"/>
        </w:rPr>
        <w:t>2</w:t>
      </w:r>
      <w:r>
        <w:rPr>
          <w:rFonts w:ascii="Times New Roman" w:hAnsi="Times New Roman"/>
          <w:sz w:val="24"/>
        </w:rPr>
        <w:t>. Od navedenog</w:t>
      </w:r>
      <w:r w:rsidR="00983D30">
        <w:rPr>
          <w:rFonts w:ascii="Times New Roman" w:hAnsi="Times New Roman"/>
          <w:sz w:val="24"/>
        </w:rPr>
        <w:t>a</w:t>
      </w:r>
      <w:r>
        <w:rPr>
          <w:rFonts w:ascii="Times New Roman" w:hAnsi="Times New Roman"/>
          <w:sz w:val="24"/>
        </w:rPr>
        <w:t>,</w:t>
      </w:r>
      <w:r>
        <w:rPr>
          <w:rFonts w:ascii="Times New Roman" w:hAnsi="Times New Roman"/>
          <w:b/>
          <w:bCs/>
          <w:sz w:val="24"/>
        </w:rPr>
        <w:t xml:space="preserve"> </w:t>
      </w:r>
      <w:r>
        <w:rPr>
          <w:rFonts w:ascii="Times New Roman" w:hAnsi="Times New Roman"/>
          <w:sz w:val="24"/>
        </w:rPr>
        <w:t>694.881 zgrada ukupne površine 131.892.329 m</w:t>
      </w:r>
      <w:r>
        <w:rPr>
          <w:rFonts w:ascii="Times New Roman" w:hAnsi="Times New Roman"/>
          <w:sz w:val="24"/>
          <w:vertAlign w:val="superscript"/>
        </w:rPr>
        <w:t>2</w:t>
      </w:r>
      <w:r>
        <w:rPr>
          <w:rFonts w:ascii="Times New Roman" w:hAnsi="Times New Roman"/>
          <w:sz w:val="24"/>
        </w:rPr>
        <w:t xml:space="preserve"> su zgrade koje su starije od životnog vijeka većine konstrukcija vanjske ovojnice (30 godina), odnosno izgrađene su prije 1987. godine, što predstavlja 65% ukupne površine fonda. Također, 388.873 zgrade ukupne površine 67.069.116 m</w:t>
      </w:r>
      <w:r>
        <w:rPr>
          <w:rFonts w:ascii="Times New Roman" w:hAnsi="Times New Roman"/>
          <w:sz w:val="24"/>
          <w:vertAlign w:val="superscript"/>
        </w:rPr>
        <w:t>2</w:t>
      </w:r>
      <w:r>
        <w:rPr>
          <w:rFonts w:ascii="Times New Roman" w:hAnsi="Times New Roman"/>
          <w:sz w:val="24"/>
        </w:rPr>
        <w:t xml:space="preserve"> su zgrade koje su premašile ekonomski životni vijek zgrada (50 godina), što predstavlja 33% ukupne površine fonda. Prosječna trajnost konstrukcije zgrade u RH premašuje ekonomski životni vijek zgrada te se može reći da će navedene zgrade biti potencijal za buduće projekte kružnog gospodarenja.</w:t>
      </w:r>
    </w:p>
    <w:p w14:paraId="45D05A55" w14:textId="77777777" w:rsidR="00496804" w:rsidRDefault="00496804">
      <w:pPr>
        <w:tabs>
          <w:tab w:val="left" w:pos="431"/>
        </w:tabs>
        <w:spacing w:line="240" w:lineRule="auto"/>
        <w:ind w:left="3"/>
        <w:rPr>
          <w:rFonts w:ascii="Times New Roman" w:hAnsi="Times New Roman"/>
          <w:sz w:val="24"/>
          <w:lang w:eastAsia="hr-HR"/>
        </w:rPr>
      </w:pPr>
    </w:p>
    <w:p w14:paraId="45D05A56" w14:textId="256FF045" w:rsidR="00496804" w:rsidRDefault="0037359D">
      <w:pPr>
        <w:spacing w:line="240" w:lineRule="auto"/>
        <w:rPr>
          <w:rFonts w:ascii="Times New Roman" w:hAnsi="Times New Roman"/>
          <w:sz w:val="24"/>
        </w:rPr>
      </w:pPr>
      <w:bookmarkStart w:id="57" w:name="_Hlk38145017"/>
      <w:r>
        <w:rPr>
          <w:rFonts w:ascii="Times New Roman" w:hAnsi="Times New Roman"/>
          <w:sz w:val="24"/>
        </w:rPr>
        <w:t xml:space="preserve">Temeljem dosadašnjih iskustava u provedbi programa energetske obnove zgrada u RH, mjere javne politike i programi sufinanciranja, sukladno Dugoročnoj strategiji, bit će primarno usmjereni na javne i stambene zgrade (višestambene zgrade i obiteljske kuće) i to one najlošijih karakteristika. S aspekta energetske obnove, najlošija svojstva imaju sve </w:t>
      </w:r>
      <w:bookmarkStart w:id="58" w:name="_Hlk38270546"/>
      <w:r>
        <w:rPr>
          <w:rFonts w:ascii="Times New Roman" w:hAnsi="Times New Roman"/>
          <w:sz w:val="24"/>
        </w:rPr>
        <w:t>zgrade energetskog razreda D ili lošijeg u kontinentalnom dijelu Republike Hrvatske, odnosno C ili lošijeg u primorskoj Hrvatskoj</w:t>
      </w:r>
      <w:bookmarkEnd w:id="58"/>
      <w:r>
        <w:rPr>
          <w:rFonts w:ascii="Times New Roman" w:hAnsi="Times New Roman"/>
          <w:sz w:val="24"/>
        </w:rPr>
        <w:t>. Prema podacima iz baze energetskih certifikata, prema namjenama i klimatskim područjima, u pravilu više od 30% zgrada spada u zgrade s najlošijim svojstvima.</w:t>
      </w:r>
    </w:p>
    <w:p w14:paraId="45D05A57" w14:textId="77777777" w:rsidR="00496804" w:rsidRDefault="00496804">
      <w:pPr>
        <w:spacing w:line="240" w:lineRule="auto"/>
        <w:rPr>
          <w:rFonts w:ascii="Times New Roman" w:hAnsi="Times New Roman"/>
          <w:sz w:val="24"/>
        </w:rPr>
      </w:pPr>
    </w:p>
    <w:p w14:paraId="45D05A58" w14:textId="77777777" w:rsidR="00496804" w:rsidRDefault="0037359D">
      <w:pPr>
        <w:spacing w:line="240" w:lineRule="auto"/>
        <w:rPr>
          <w:rFonts w:ascii="Times New Roman" w:hAnsi="Times New Roman"/>
          <w:sz w:val="24"/>
        </w:rPr>
      </w:pPr>
      <w:r>
        <w:rPr>
          <w:rFonts w:ascii="Times New Roman" w:hAnsi="Times New Roman"/>
          <w:sz w:val="24"/>
        </w:rPr>
        <w:t xml:space="preserve">Zgrade s najlošijim svojstvima u pravilu ne zadovoljavaju minimalne zahtjeve u pogledu mehaničke otpornosti i stabilnosti, zaštite od požara ili zaštite zdravlja. Potencijal energetske obnove tih zgrada ograničen je niskom kvalitetom stanovanja koju pružaju i visokim troškovima povezanim uz neenergetske aspekte obnove zgrada. Zgrade u privatnom vlasništvu, koje možemo svrstati u kategoriju zgrada s najgorim svojstvima, istodobno zadržavaju visok potencijal energetske obnove i ostvarivih ušteda. </w:t>
      </w:r>
    </w:p>
    <w:p w14:paraId="45D05A59" w14:textId="77777777" w:rsidR="00496804" w:rsidRDefault="00496804">
      <w:pPr>
        <w:spacing w:line="240" w:lineRule="auto"/>
        <w:rPr>
          <w:rFonts w:ascii="Times New Roman" w:hAnsi="Times New Roman"/>
          <w:sz w:val="24"/>
        </w:rPr>
      </w:pPr>
    </w:p>
    <w:p w14:paraId="45D05A5A" w14:textId="77777777" w:rsidR="00496804" w:rsidRDefault="0037359D">
      <w:pPr>
        <w:spacing w:line="240" w:lineRule="auto"/>
        <w:rPr>
          <w:rFonts w:ascii="Times New Roman" w:hAnsi="Times New Roman"/>
          <w:sz w:val="24"/>
        </w:rPr>
      </w:pPr>
      <w:r>
        <w:rPr>
          <w:rFonts w:ascii="Times New Roman" w:hAnsi="Times New Roman"/>
          <w:sz w:val="24"/>
        </w:rPr>
        <w:t>Navedeni fond zgrada s najlošijim energetskim svojstvima predstavlja potencijal za buduće projekte kružnog gospodarenja, odnosno energetsku obnovu uz sagledavanje cjeloživotnog utjecaja svojstava zgrada na okoliš.</w:t>
      </w:r>
    </w:p>
    <w:bookmarkEnd w:id="57"/>
    <w:p w14:paraId="45D05A5B" w14:textId="77777777" w:rsidR="00496804" w:rsidRDefault="00496804">
      <w:pPr>
        <w:spacing w:line="240" w:lineRule="auto"/>
        <w:rPr>
          <w:rFonts w:ascii="Times New Roman" w:hAnsi="Times New Roman"/>
          <w:sz w:val="24"/>
        </w:rPr>
      </w:pPr>
    </w:p>
    <w:p w14:paraId="45D05A5C"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A5D" w14:textId="77777777" w:rsidR="00496804" w:rsidRDefault="0037359D">
      <w:pPr>
        <w:pStyle w:val="Naslov2"/>
        <w:ind w:left="426" w:hanging="426"/>
        <w:rPr>
          <w:rFonts w:ascii="Times New Roman" w:hAnsi="Times New Roman" w:cs="Times New Roman"/>
          <w:color w:val="auto"/>
          <w:sz w:val="24"/>
          <w:szCs w:val="24"/>
        </w:rPr>
      </w:pPr>
      <w:bookmarkStart w:id="59" w:name="_Toc36796170"/>
      <w:bookmarkStart w:id="60" w:name="_Toc36796171"/>
      <w:bookmarkStart w:id="61" w:name="_Toc36629171"/>
      <w:bookmarkStart w:id="62" w:name="_Toc36796181"/>
      <w:bookmarkStart w:id="63" w:name="_Toc36629182"/>
      <w:bookmarkStart w:id="64" w:name="_Toc36629172"/>
      <w:bookmarkStart w:id="65" w:name="_Toc36629170"/>
      <w:bookmarkStart w:id="66" w:name="_Toc36796138"/>
      <w:bookmarkStart w:id="67" w:name="_Toc36629139"/>
      <w:bookmarkStart w:id="68" w:name="_Toc36629138"/>
      <w:bookmarkStart w:id="69" w:name="_Toc36796136"/>
      <w:bookmarkStart w:id="70" w:name="_Toc36796137"/>
      <w:bookmarkStart w:id="71" w:name="_Toc36796164"/>
      <w:bookmarkStart w:id="72" w:name="_Toc36629216"/>
      <w:bookmarkStart w:id="73" w:name="_Toc36796167"/>
      <w:bookmarkStart w:id="74" w:name="_Toc36629168"/>
      <w:bookmarkStart w:id="75" w:name="_Toc36629140"/>
      <w:bookmarkStart w:id="76" w:name="_Toc36796214"/>
      <w:bookmarkStart w:id="77" w:name="_Toc36796139"/>
      <w:bookmarkStart w:id="78" w:name="_Toc36796140"/>
      <w:bookmarkStart w:id="79" w:name="_Toc36796161"/>
      <w:bookmarkStart w:id="80" w:name="_Toc36629162"/>
      <w:bookmarkStart w:id="81" w:name="_Toc36629163"/>
      <w:bookmarkStart w:id="82" w:name="_Toc36796162"/>
      <w:bookmarkStart w:id="83" w:name="_Toc36629164"/>
      <w:bookmarkStart w:id="84" w:name="_Toc36629165"/>
      <w:bookmarkStart w:id="85" w:name="_Toc36796163"/>
      <w:bookmarkStart w:id="86" w:name="_Toc36796168"/>
      <w:bookmarkStart w:id="87" w:name="_Toc36629141"/>
      <w:bookmarkStart w:id="88" w:name="_Toc36796169"/>
      <w:bookmarkStart w:id="89" w:name="_Toc36629215"/>
      <w:bookmarkStart w:id="90" w:name="_Toc36629137"/>
      <w:bookmarkStart w:id="91" w:name="_Toc36629166"/>
      <w:bookmarkStart w:id="92" w:name="_Toc36629167"/>
      <w:bookmarkStart w:id="93" w:name="_Toc36629290"/>
      <w:bookmarkStart w:id="94" w:name="_Toc36796165"/>
      <w:bookmarkStart w:id="95" w:name="_Toc36796354"/>
      <w:bookmarkStart w:id="96" w:name="_Toc36796294"/>
      <w:bookmarkStart w:id="97" w:name="_Toc36629355"/>
      <w:bookmarkStart w:id="98" w:name="_Toc36796284"/>
      <w:bookmarkStart w:id="99" w:name="_Toc36796355"/>
      <w:bookmarkStart w:id="100" w:name="_Toc36629356"/>
      <w:bookmarkStart w:id="101" w:name="_Toc36796166"/>
      <w:bookmarkStart w:id="102" w:name="_Toc36629285"/>
      <w:bookmarkStart w:id="103" w:name="_Toc36796289"/>
      <w:bookmarkStart w:id="104" w:name="_Toc36629295"/>
      <w:bookmarkStart w:id="105" w:name="_Toc36796288"/>
      <w:bookmarkStart w:id="106" w:name="_Toc36629289"/>
      <w:bookmarkStart w:id="107" w:name="_Toc36796287"/>
      <w:bookmarkStart w:id="108" w:name="_Toc36629286"/>
      <w:bookmarkStart w:id="109" w:name="_Toc36629288"/>
      <w:bookmarkStart w:id="110" w:name="_Toc36796286"/>
      <w:bookmarkStart w:id="111" w:name="_Toc36796285"/>
      <w:bookmarkStart w:id="112" w:name="_Toc36629287"/>
      <w:bookmarkStart w:id="113" w:name="_Toc36796215"/>
      <w:bookmarkStart w:id="114" w:name="_Toc36629217"/>
      <w:bookmarkStart w:id="115" w:name="_Toc36796224"/>
      <w:bookmarkStart w:id="116" w:name="_Toc36629225"/>
      <w:bookmarkStart w:id="117" w:name="_Toc36629220"/>
      <w:bookmarkStart w:id="118" w:name="_Toc36796219"/>
      <w:bookmarkStart w:id="119" w:name="_Toc36629219"/>
      <w:bookmarkStart w:id="120" w:name="_Toc36796218"/>
      <w:bookmarkStart w:id="121" w:name="_Toc36629218"/>
      <w:bookmarkStart w:id="122" w:name="_Toc36796217"/>
      <w:bookmarkStart w:id="123" w:name="_Toc36796216"/>
      <w:bookmarkStart w:id="124" w:name="_Toc36629169"/>
      <w:bookmarkStart w:id="125" w:name="_Toc5185163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ascii="Times New Roman" w:hAnsi="Times New Roman" w:cs="Times New Roman"/>
          <w:color w:val="auto"/>
          <w:sz w:val="24"/>
          <w:szCs w:val="24"/>
        </w:rPr>
        <w:lastRenderedPageBreak/>
        <w:t>PRITISCI NA IZGRAĐENI OKOLIŠ</w:t>
      </w:r>
      <w:bookmarkEnd w:id="125"/>
    </w:p>
    <w:p w14:paraId="45D05A5E" w14:textId="77777777" w:rsidR="00496804" w:rsidRDefault="00496804">
      <w:pPr>
        <w:spacing w:line="240" w:lineRule="auto"/>
        <w:rPr>
          <w:rFonts w:ascii="Times New Roman" w:hAnsi="Times New Roman"/>
          <w:sz w:val="24"/>
        </w:rPr>
      </w:pPr>
    </w:p>
    <w:p w14:paraId="45D05A5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Direktivom (EU) 2018/844 u člancima 2.a i 7., određeno je da države članice izrađuju dugoročne strategije obnove u kojima će biti dani odgovori na pitanja zaštite od požara i rizika povezanih s pojačanom seizmičkom aktivnošću koji utječu na energetsku obnovu i životni vijek zgrada. </w:t>
      </w:r>
    </w:p>
    <w:p w14:paraId="45D05A60" w14:textId="77777777" w:rsidR="00496804" w:rsidRDefault="00496804">
      <w:pPr>
        <w:pStyle w:val="tekst"/>
        <w:spacing w:line="240" w:lineRule="auto"/>
        <w:rPr>
          <w:rFonts w:ascii="Times New Roman" w:hAnsi="Times New Roman" w:cs="Times New Roman"/>
          <w:sz w:val="24"/>
          <w:szCs w:val="24"/>
        </w:rPr>
      </w:pPr>
    </w:p>
    <w:p w14:paraId="45D05A61" w14:textId="77777777" w:rsidR="00496804" w:rsidRDefault="0037359D">
      <w:pPr>
        <w:spacing w:line="240" w:lineRule="auto"/>
        <w:rPr>
          <w:rFonts w:ascii="Times New Roman" w:hAnsi="Times New Roman"/>
          <w:sz w:val="24"/>
        </w:rPr>
      </w:pPr>
      <w:r>
        <w:rPr>
          <w:rFonts w:ascii="Times New Roman" w:hAnsi="Times New Roman"/>
          <w:sz w:val="24"/>
        </w:rPr>
        <w:t>Člankom 7. Zakona o gradnji propisuje se kako svaka građevina, ovisno o namjeni, mora biti projektirana i izgrađena na način da tijekom svog trajanja ispunjava temeljne zahtjeve za građevinu, te druge zahtjeve, odnosno uvjete propisane ovim Zakonom i posebnim propisima koji utječu na ispunjavanje temeljnog zahtjeva za građevinu ili na drugi način uvjetuju gradnju građevina ili utječu na građevne i druge proizvode koji se ugrađuju u građevinu. Pod temeljnim zahtjevima za građevinu smatraju se: mehanička otpornost i stabilnost, sigurnost u slučaju požara, higijena, zdravlje i okoliš, sigurnost i pristupačnost tijekom uporabe, zaštita od buke, gospodarenje energijom i očuvanje topline i održiva uporaba prirodnih izvora.</w:t>
      </w:r>
    </w:p>
    <w:p w14:paraId="45D05A62" w14:textId="77777777" w:rsidR="00496804" w:rsidRDefault="00496804">
      <w:pPr>
        <w:spacing w:line="240" w:lineRule="auto"/>
        <w:rPr>
          <w:rFonts w:ascii="Times New Roman" w:hAnsi="Times New Roman"/>
          <w:sz w:val="24"/>
        </w:rPr>
      </w:pPr>
    </w:p>
    <w:p w14:paraId="45D05A63" w14:textId="77777777" w:rsidR="00496804" w:rsidRDefault="0037359D">
      <w:pPr>
        <w:spacing w:line="240" w:lineRule="auto"/>
        <w:rPr>
          <w:rFonts w:ascii="Times New Roman" w:hAnsi="Times New Roman"/>
          <w:sz w:val="24"/>
        </w:rPr>
      </w:pPr>
      <w:r>
        <w:rPr>
          <w:rFonts w:ascii="Times New Roman" w:hAnsi="Times New Roman"/>
          <w:sz w:val="24"/>
        </w:rPr>
        <w:t xml:space="preserve">Glavna radna skupina Hrvatske platforme za smanjenje rizika od katastrofa izradila je </w:t>
      </w:r>
      <w:r>
        <w:rPr>
          <w:rFonts w:ascii="Times New Roman" w:hAnsi="Times New Roman"/>
          <w:bCs/>
          <w:sz w:val="24"/>
        </w:rPr>
        <w:t>Procjenu rizika od katastrofa za Republiku Hrvatsku</w:t>
      </w:r>
      <w:r>
        <w:rPr>
          <w:rStyle w:val="Referencafusnote"/>
          <w:rFonts w:ascii="Times New Roman" w:hAnsi="Times New Roman"/>
          <w:bCs/>
          <w:sz w:val="24"/>
        </w:rPr>
        <w:footnoteReference w:id="50"/>
      </w:r>
      <w:r>
        <w:rPr>
          <w:rFonts w:ascii="Times New Roman" w:hAnsi="Times New Roman"/>
          <w:sz w:val="24"/>
        </w:rPr>
        <w:t xml:space="preserve">, dokument koji predstavlja temelj za donošenje Strategije smanjenja rizika od katastrofa, a s ciljem jačanja sposobnosti za upravljanje rizicima. Procjena prepoznaje 15 grupa rizika za RH (bolesti bilja, bolesti životinja, ekstremne temperature, epidemije i pandemije, industrijske nesreće, poplave izazvane izlijevanjem kopnenih vodenih tijela, potres, požari otvorenog tipa, snijeg i led, suša, zaslanjivanje kopna, nuklearne nesreće, radiološke nesreće, klizišta i onečišćenje mora) i jedan složeni rizik – potres i poplava. Kao priprema za odlučivanje o važnosti pojedinih rizika provedeno je vrednovanje rizika, a rezultati vrednovanja razvrstali su rizike u neprihvatljive, tolerirane i prihvatljive. Toleriranim se rizicima smatraju oni koje je potrebno smanjivati u skladu s mogućnostima i uz analizu troškova i koristi na regionalnoj i lokalnoj razini, dok se smanjivanje prihvatljivih rizika ne smatra trenutačnim nacionalnim prioritetom. U skupinu neprihvatljivih rizika svrstani su oni koje je potrebno smanjiti u najkraćem mogućem roku na nacionalnoj razini: potres i požari otvorenog tipa te poplave izazvane izlijevanjem kopnenih vodenih tijela. </w:t>
      </w:r>
    </w:p>
    <w:p w14:paraId="45D05A64" w14:textId="77777777" w:rsidR="00496804" w:rsidRDefault="00496804">
      <w:pPr>
        <w:pStyle w:val="tekst"/>
        <w:spacing w:line="240" w:lineRule="auto"/>
        <w:rPr>
          <w:rFonts w:ascii="Times New Roman" w:hAnsi="Times New Roman" w:cs="Times New Roman"/>
          <w:sz w:val="24"/>
          <w:szCs w:val="24"/>
        </w:rPr>
      </w:pPr>
    </w:p>
    <w:p w14:paraId="45D05A65" w14:textId="77777777" w:rsidR="00496804" w:rsidRDefault="0037359D">
      <w:pPr>
        <w:pStyle w:val="tekst"/>
        <w:spacing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Katastrofalni događaji kao što su djelovanja potresa, požara i poplava mogu uzrokovati značajna društvena i gospodarska opterećenja u prostoru, ona ostavljaju velike materijalne posljedice u izgrađenom okolišu te znatno utječu na mnoge sektore gospodarstva, lokalna radna mjesta i kvalitetu života. </w:t>
      </w:r>
      <w:bookmarkStart w:id="127" w:name="_Hlk38539970"/>
      <w:r>
        <w:rPr>
          <w:rFonts w:ascii="Times New Roman" w:hAnsi="Times New Roman" w:cs="Times New Roman"/>
          <w:sz w:val="24"/>
          <w:szCs w:val="24"/>
          <w:lang w:eastAsia="en-GB"/>
        </w:rPr>
        <w:t xml:space="preserve">Odgovor na rizike i njihove posljedice moguće je sagledavati s dva aspekta: djelovanje u sadašnjim uvjetima odnosno po djelovanju katastrofalnog događaja ili kroz mjere prevencije za buduće rizične događaje. </w:t>
      </w:r>
    </w:p>
    <w:p w14:paraId="45D05A66" w14:textId="77777777" w:rsidR="00496804" w:rsidRDefault="00496804">
      <w:pPr>
        <w:pStyle w:val="tekst"/>
        <w:spacing w:line="240" w:lineRule="auto"/>
        <w:rPr>
          <w:rFonts w:ascii="Times New Roman" w:hAnsi="Times New Roman" w:cs="Times New Roman"/>
          <w:sz w:val="24"/>
          <w:szCs w:val="24"/>
        </w:rPr>
      </w:pPr>
    </w:p>
    <w:bookmarkEnd w:id="127"/>
    <w:p w14:paraId="09175085" w14:textId="6D42E4DD" w:rsidR="00EB31E4" w:rsidRDefault="0037359D" w:rsidP="00EB31E4">
      <w:pPr>
        <w:spacing w:line="240" w:lineRule="auto"/>
        <w:rPr>
          <w:rFonts w:ascii="Times New Roman" w:hAnsi="Times New Roman"/>
          <w:sz w:val="24"/>
        </w:rPr>
      </w:pPr>
      <w:r>
        <w:rPr>
          <w:rFonts w:ascii="Times New Roman" w:hAnsi="Times New Roman"/>
          <w:sz w:val="24"/>
        </w:rPr>
        <w:t>Katastrofalni događaji nastaju iznenadno i mogu rezultirati različitim oštećenjima zgrada, instalacija i opreme odnosno rušenjem cijele zgrade ili njezinog dijela. Oštećenja zgrada je u određenoj mjeri moguće sanirati, ali u slučajevima katastrofalnih događaja djelovanja su visokog intenziteta i rezultiraju značajnim oštećenjima na zgradama zbog kojih bi moglo postati ekonomski opravdano zgradu ukloniti. Kružno gospodarenje prostorom i zgradama prvenstveno podrazumijeva provođenje mjera prevencije za buduće katastrofalne događaje. Mjere prevencije, na primjer, osiguravaju potrebna ojačanja na postojećim zgradama, podrazumijevaju odgovarajuću primjenu propisa kojima se osiguravaju temeljni zahtjevi za građevinske konstrukcije tijekom projektiranja i gradnje novih zgrada te smanjuju nastanak građevnog otpada u slučaju nastanka katastrofalnog događaja. Prevenciju mogu činiti različite mjere u sustavu prostornog planiranja i gradnje koje, u slučaju da se pokaže potrebnim, može pratiti i izmjena ili dopuna zakonodavnog okvira.</w:t>
      </w:r>
      <w:r w:rsidR="00EB31E4" w:rsidRPr="00EB31E4">
        <w:rPr>
          <w:rFonts w:ascii="Times New Roman" w:hAnsi="Times New Roman"/>
          <w:sz w:val="24"/>
        </w:rPr>
        <w:t xml:space="preserve"> </w:t>
      </w:r>
      <w:r w:rsidR="00EB31E4">
        <w:rPr>
          <w:rFonts w:ascii="Times New Roman" w:hAnsi="Times New Roman"/>
          <w:sz w:val="24"/>
        </w:rPr>
        <w:br w:type="page"/>
      </w:r>
    </w:p>
    <w:p w14:paraId="45D05A6A" w14:textId="77777777" w:rsidR="00496804" w:rsidRDefault="0037359D">
      <w:pPr>
        <w:pStyle w:val="Naslov2"/>
        <w:numPr>
          <w:ilvl w:val="2"/>
          <w:numId w:val="8"/>
        </w:numPr>
        <w:spacing w:line="259" w:lineRule="auto"/>
        <w:ind w:left="709" w:hanging="709"/>
        <w:rPr>
          <w:rFonts w:ascii="Times New Roman" w:hAnsi="Times New Roman" w:cs="Times New Roman"/>
          <w:color w:val="auto"/>
          <w:sz w:val="24"/>
          <w:szCs w:val="24"/>
        </w:rPr>
      </w:pPr>
      <w:bookmarkStart w:id="128" w:name="_Toc51851634"/>
      <w:r>
        <w:rPr>
          <w:rFonts w:ascii="Times New Roman" w:hAnsi="Times New Roman" w:cs="Times New Roman"/>
          <w:color w:val="auto"/>
          <w:sz w:val="24"/>
          <w:szCs w:val="24"/>
        </w:rPr>
        <w:lastRenderedPageBreak/>
        <w:t>POTRES</w:t>
      </w:r>
      <w:bookmarkEnd w:id="128"/>
    </w:p>
    <w:p w14:paraId="45D05A6B" w14:textId="77777777" w:rsidR="00496804" w:rsidRDefault="00496804">
      <w:pPr>
        <w:autoSpaceDE w:val="0"/>
        <w:autoSpaceDN w:val="0"/>
        <w:adjustRightInd w:val="0"/>
        <w:spacing w:line="240" w:lineRule="auto"/>
        <w:jc w:val="left"/>
        <w:rPr>
          <w:rFonts w:ascii="Times New Roman" w:eastAsia="Arial Unicode MS" w:hAnsi="Times New Roman"/>
          <w:sz w:val="24"/>
          <w:lang w:eastAsia="hr-HR"/>
        </w:rPr>
      </w:pPr>
    </w:p>
    <w:p w14:paraId="45D05A6C" w14:textId="77777777" w:rsidR="00496804" w:rsidRDefault="0037359D">
      <w:pPr>
        <w:spacing w:line="240" w:lineRule="auto"/>
        <w:rPr>
          <w:rFonts w:ascii="Times New Roman" w:hAnsi="Times New Roman"/>
          <w:sz w:val="24"/>
        </w:rPr>
      </w:pPr>
      <w:r>
        <w:rPr>
          <w:rFonts w:ascii="Times New Roman" w:hAnsi="Times New Roman"/>
          <w:sz w:val="24"/>
        </w:rPr>
        <w:t xml:space="preserve">Oštećenja ili urušavanja zgrada i drugih građevina rezultiraju ozljedama ili gubicima ljudskih života te potpunim poremećajem gospodarskih i društvenih odnosa u zajednici. Osim zgrada pretežito stambene namjene, veliki dio državnih i javnih ustanova smješten je u zgradama koje su spomenici kulture, odnosno koje su potresno neotporne. Posljedice katastrofalnog potresa osim nepovratnog uništavanja povijesne arhitekture, mogu dovesti i do prekida rada javnih ustanova od izrazitog interesa. </w:t>
      </w:r>
    </w:p>
    <w:p w14:paraId="45D05A6D" w14:textId="77777777" w:rsidR="00496804" w:rsidRDefault="00496804">
      <w:pPr>
        <w:spacing w:line="240" w:lineRule="auto"/>
        <w:rPr>
          <w:rFonts w:ascii="Times New Roman" w:hAnsi="Times New Roman"/>
          <w:sz w:val="24"/>
        </w:rPr>
      </w:pPr>
    </w:p>
    <w:p w14:paraId="45D05A6E" w14:textId="77777777" w:rsidR="00496804" w:rsidRDefault="0037359D">
      <w:pPr>
        <w:spacing w:line="240" w:lineRule="auto"/>
        <w:rPr>
          <w:rFonts w:ascii="Times New Roman" w:hAnsi="Times New Roman"/>
          <w:sz w:val="24"/>
        </w:rPr>
      </w:pPr>
      <w:r>
        <w:rPr>
          <w:rFonts w:ascii="Times New Roman" w:hAnsi="Times New Roman"/>
          <w:sz w:val="24"/>
        </w:rPr>
        <w:t xml:space="preserve">U hrvatskoj povijesti bilo je registrirano više potresa s teškim posljedicama. Većina Hrvatske i većina koncentracije populacije nalazi se u trusno visoko rizičnim područjima, gdje potresi nastaju kao posljedica pomicanja tektonskih ploča. Glavni grad, u kojemu je smješteno više od 20% stanovništva i u kojemu se odvija više od 1/3 gospodarskih djelatnosti, smješten je u jednom od seizmički najaktivnijih područja u RH. </w:t>
      </w:r>
    </w:p>
    <w:p w14:paraId="45D05A6F" w14:textId="77777777" w:rsidR="00496804" w:rsidRDefault="00496804">
      <w:pPr>
        <w:spacing w:line="240" w:lineRule="auto"/>
        <w:rPr>
          <w:rFonts w:ascii="Times New Roman" w:hAnsi="Times New Roman"/>
          <w:sz w:val="24"/>
        </w:rPr>
      </w:pPr>
    </w:p>
    <w:p w14:paraId="45D05A70" w14:textId="5261415C" w:rsidR="00496804" w:rsidRDefault="0037359D">
      <w:pPr>
        <w:spacing w:line="240" w:lineRule="auto"/>
        <w:rPr>
          <w:rFonts w:ascii="Times New Roman" w:hAnsi="Times New Roman"/>
          <w:sz w:val="24"/>
        </w:rPr>
      </w:pPr>
      <w:r>
        <w:rPr>
          <w:rFonts w:ascii="Times New Roman" w:hAnsi="Times New Roman"/>
          <w:sz w:val="24"/>
        </w:rPr>
        <w:t xml:space="preserve">Gradnju zgrada u odnosu na konstruktivna rješenja u RH možemo promatrati kroz nekoliko etapa. Ove etape se dijelom mogu promatrati i kroz prilagodbe građevinske regulative koje su potaknute recentnim katastrofalnim potresima. Tako se mogu izdvojiti razdoblja: do 1920. godine kada na zgradama dominiraju konstruktivni sustavi zidanih konstrukcija, drvene stropne konstrukcije (i eventualno svodovi); razdoblje između dva svjetska rata kada su prisutni i klasični zidani sustavi i armiranobetonske mješovite konstrukcije, razdoblje 1945. do 1964. u kojemu prevladavaju armiranobetonski stropovi polumontažnih tipova ili izvedeni monolitno na licu mjesta, s pretežito zidanim ziđem. Gradnju zgrada do 1964. nije pratilo projektiranje na djelovanje potresa. Nakon 1964. godine zidane se zgrade sustavno grade s horizontalnim i vertikalnim serklažima, a zgrade kolektivnog stanovanja s armiranobetonskim nosivim sustavom. Armiranobetonski sustavi izvode se prema odredbama seizmičkih propisa iz 1964. godine i 1981. godine (nakon potresa u Skoplju i u Crnogorskom primorju), što možemo smatrati modernim načinom izgradnje u smislu tadašnjih znanstvenih (seizmičkih, geotehničkih, geomehaničkih i dr.) spoznaja. Iduće dvije razvojne etape su razdoblja 1982.-1998. i 1998-2012. kada se u procesu razvoja seizmičkih propisa vrijednosti horizontalnih ubrzanja, odnosno odgovarajuće proračunske horizontalne sile, ovisno o promatranoj lokaciji, povećavaju što rezultira sve boljim mehaničkim svojstvima novih zgrada kroz vrijeme. U Gradu Zagrebu preko 50% građevina izgrađeno je do 1982. godine odnosno do stupanja na snagu </w:t>
      </w:r>
      <w:r w:rsidRPr="00460623">
        <w:rPr>
          <w:rFonts w:ascii="Times New Roman" w:hAnsi="Times New Roman"/>
          <w:sz w:val="24"/>
        </w:rPr>
        <w:t>Pravilnika o tehničkim normativima za izgradnju objekata u seizmičkim područjima</w:t>
      </w:r>
      <w:r>
        <w:rPr>
          <w:rFonts w:ascii="Times New Roman" w:hAnsi="Times New Roman"/>
          <w:sz w:val="24"/>
        </w:rPr>
        <w:t xml:space="preserve">. Važeći </w:t>
      </w:r>
      <w:r w:rsidRPr="00460623">
        <w:rPr>
          <w:rFonts w:ascii="Times New Roman" w:hAnsi="Times New Roman"/>
          <w:sz w:val="24"/>
        </w:rPr>
        <w:t xml:space="preserve">Zakon o gradnji </w:t>
      </w:r>
      <w:r>
        <w:rPr>
          <w:rFonts w:ascii="Times New Roman" w:hAnsi="Times New Roman"/>
          <w:sz w:val="24"/>
        </w:rPr>
        <w:t>u članku 9. uređuje da se mehanička otpornost i stabilnost građevina mora osigurati projektiranjem i gradnjom na način da opterećenja koja na nju mogu djelovati tijekom građenja i uporabe ne mogu dovesti do: rušenja cijele građevine ili nekog njezina dijela, velikih deformacija u stupnju koji nije prihvatljiv, oštećenja na drugim dijelovima građevine, instalacijama ili ugrađenoj opremi kao rezultatu velike deformacije nosive konstrukcije, oštećenja kao rezultat nekog događaja, u mjeri koja je nerazmjerna izvornom uzroku. Projekti uklanjanja građevine podliježu kontroli u odnosu na mehaničku otpornost i stabilnost ako uklanjanje građevine utječe na stabilnost okolnog i drugog zemljišta prilikom izrade i/ili ispunjavanj</w:t>
      </w:r>
      <w:r w:rsidR="00E370DA">
        <w:rPr>
          <w:rFonts w:ascii="Times New Roman" w:hAnsi="Times New Roman"/>
          <w:sz w:val="24"/>
        </w:rPr>
        <w:t>a</w:t>
      </w:r>
      <w:r>
        <w:rPr>
          <w:rFonts w:ascii="Times New Roman" w:hAnsi="Times New Roman"/>
          <w:sz w:val="24"/>
        </w:rPr>
        <w:t xml:space="preserve"> temeljnih zahtjeva drugih građevina.</w:t>
      </w:r>
    </w:p>
    <w:p w14:paraId="45D05A71" w14:textId="77777777" w:rsidR="00496804" w:rsidRDefault="00496804">
      <w:pPr>
        <w:spacing w:line="240" w:lineRule="auto"/>
        <w:rPr>
          <w:rFonts w:ascii="Times New Roman" w:hAnsi="Times New Roman"/>
          <w:sz w:val="24"/>
        </w:rPr>
      </w:pPr>
    </w:p>
    <w:p w14:paraId="45D05A72" w14:textId="7CFBF0E8" w:rsidR="00496804" w:rsidRDefault="0037359D">
      <w:pPr>
        <w:spacing w:line="240" w:lineRule="auto"/>
        <w:rPr>
          <w:rFonts w:ascii="Times New Roman" w:hAnsi="Times New Roman"/>
          <w:sz w:val="24"/>
        </w:rPr>
      </w:pPr>
      <w:r>
        <w:rPr>
          <w:rFonts w:ascii="Times New Roman" w:hAnsi="Times New Roman"/>
          <w:sz w:val="24"/>
        </w:rPr>
        <w:t>Potres</w:t>
      </w:r>
      <w:r w:rsidR="00E04E99">
        <w:rPr>
          <w:rFonts w:ascii="Times New Roman" w:hAnsi="Times New Roman"/>
          <w:sz w:val="24"/>
        </w:rPr>
        <w:t>i</w:t>
      </w:r>
      <w:r>
        <w:rPr>
          <w:rFonts w:ascii="Times New Roman" w:hAnsi="Times New Roman"/>
          <w:sz w:val="24"/>
        </w:rPr>
        <w:t xml:space="preserve"> od 22. ožujka 2020.  </w:t>
      </w:r>
      <w:r w:rsidR="00E04E99" w:rsidRPr="00E04E99">
        <w:rPr>
          <w:rFonts w:ascii="Times New Roman" w:hAnsi="Times New Roman"/>
          <w:sz w:val="24"/>
        </w:rPr>
        <w:t xml:space="preserve">te 28. i 29. prosinca 2020. </w:t>
      </w:r>
      <w:r>
        <w:rPr>
          <w:rFonts w:ascii="Times New Roman" w:hAnsi="Times New Roman"/>
          <w:sz w:val="24"/>
        </w:rPr>
        <w:t xml:space="preserve">samo </w:t>
      </w:r>
      <w:r w:rsidR="00E04E99">
        <w:rPr>
          <w:rFonts w:ascii="Times New Roman" w:hAnsi="Times New Roman"/>
          <w:sz w:val="24"/>
        </w:rPr>
        <w:t xml:space="preserve">su </w:t>
      </w:r>
      <w:r>
        <w:rPr>
          <w:rFonts w:ascii="Times New Roman" w:hAnsi="Times New Roman"/>
          <w:sz w:val="24"/>
        </w:rPr>
        <w:t xml:space="preserve">dodatna potvrda da </w:t>
      </w:r>
      <w:r w:rsidR="00DB4A2E">
        <w:rPr>
          <w:rFonts w:ascii="Times New Roman" w:hAnsi="Times New Roman"/>
          <w:sz w:val="24"/>
        </w:rPr>
        <w:t xml:space="preserve">je </w:t>
      </w:r>
      <w:r>
        <w:rPr>
          <w:rFonts w:ascii="Times New Roman" w:hAnsi="Times New Roman"/>
          <w:sz w:val="24"/>
        </w:rPr>
        <w:t xml:space="preserve">potrebno </w:t>
      </w:r>
      <w:r w:rsidR="00DB4A2E">
        <w:rPr>
          <w:rFonts w:ascii="Times New Roman" w:hAnsi="Times New Roman"/>
          <w:sz w:val="24"/>
        </w:rPr>
        <w:t xml:space="preserve">sustavno </w:t>
      </w:r>
      <w:r>
        <w:rPr>
          <w:rFonts w:ascii="Times New Roman" w:hAnsi="Times New Roman"/>
          <w:sz w:val="24"/>
        </w:rPr>
        <w:t>se posvetiti otpornosti zgrada na potres, osobito kada se radi o zgradama koje nisu građene u skladu s važećim propisima (razni vidovi nekontroliranih gradnji, rekonstrukcija i adaptacija), poput onih građenih prije 1964. godine.</w:t>
      </w:r>
    </w:p>
    <w:p w14:paraId="45D05A73" w14:textId="77777777" w:rsidR="00496804" w:rsidRDefault="00496804">
      <w:pPr>
        <w:spacing w:line="240" w:lineRule="auto"/>
        <w:rPr>
          <w:rFonts w:ascii="Times New Roman" w:hAnsi="Times New Roman"/>
          <w:sz w:val="24"/>
        </w:rPr>
      </w:pPr>
    </w:p>
    <w:p w14:paraId="45D05A74" w14:textId="77777777" w:rsidR="00496804" w:rsidRDefault="0037359D">
      <w:pPr>
        <w:spacing w:line="240" w:lineRule="auto"/>
        <w:rPr>
          <w:rFonts w:ascii="Times New Roman" w:hAnsi="Times New Roman"/>
          <w:sz w:val="24"/>
        </w:rPr>
      </w:pPr>
      <w:r>
        <w:rPr>
          <w:rFonts w:ascii="Times New Roman" w:hAnsi="Times New Roman"/>
          <w:sz w:val="24"/>
        </w:rPr>
        <w:t xml:space="preserve">Sustavni pristup podrazumijeva definiranje potresne opasnosti seizmičkim mikrozoniranjem, definiranje izloženosti zgrada i procjenjivanje oštetljivosti s obzirom na konstruktivni sustav zgrade, popisivanjem vrsta zgrada s obzirom na njihove građevne značajke i razdoblje gradnje, funkciju, </w:t>
      </w:r>
      <w:r>
        <w:rPr>
          <w:rFonts w:ascii="Times New Roman" w:hAnsi="Times New Roman"/>
          <w:sz w:val="24"/>
        </w:rPr>
        <w:lastRenderedPageBreak/>
        <w:t xml:space="preserve">nastanjenost i ulogu neposredno nakon potresa, izradu detaljnih baza podataka s karakteristikama postojećeg fonda građevina, provođenje procjene oštetljivosti korištenjem izrađene baze podataka i višegodišnjih iskustava stručnjaka o ponašanju građevina u potresu, utvrđivanje rizika za stanovnike i imovinu. </w:t>
      </w:r>
    </w:p>
    <w:p w14:paraId="45D05A75" w14:textId="094A651C" w:rsidR="00496804" w:rsidRDefault="00496804">
      <w:pPr>
        <w:spacing w:line="240" w:lineRule="auto"/>
        <w:rPr>
          <w:rFonts w:ascii="Times New Roman" w:hAnsi="Times New Roman"/>
          <w:sz w:val="24"/>
        </w:rPr>
      </w:pPr>
    </w:p>
    <w:p w14:paraId="061586B1" w14:textId="5F85D44B" w:rsidR="00115A9B" w:rsidRPr="00A10B78" w:rsidRDefault="00F65A9C">
      <w:pPr>
        <w:spacing w:line="240" w:lineRule="auto"/>
        <w:rPr>
          <w:rFonts w:ascii="Times New Roman" w:hAnsi="Times New Roman"/>
          <w:strike/>
          <w:sz w:val="24"/>
        </w:rPr>
      </w:pPr>
      <w:r>
        <w:rPr>
          <w:rFonts w:ascii="Times New Roman" w:hAnsi="Times New Roman"/>
          <w:sz w:val="24"/>
        </w:rPr>
        <w:t>Kao i potres</w:t>
      </w:r>
      <w:r w:rsidR="00E370DA">
        <w:rPr>
          <w:rFonts w:ascii="Times New Roman" w:hAnsi="Times New Roman"/>
          <w:sz w:val="24"/>
        </w:rPr>
        <w:t>,</w:t>
      </w:r>
      <w:r>
        <w:rPr>
          <w:rFonts w:ascii="Times New Roman" w:hAnsi="Times New Roman"/>
          <w:sz w:val="24"/>
        </w:rPr>
        <w:t xml:space="preserve"> i klizište je jedan od geo</w:t>
      </w:r>
      <w:r w:rsidR="00B85B49">
        <w:rPr>
          <w:rFonts w:ascii="Times New Roman" w:hAnsi="Times New Roman"/>
          <w:sz w:val="24"/>
        </w:rPr>
        <w:t>hazarda sa sličnim negativnim učincima</w:t>
      </w:r>
      <w:r w:rsidR="00CE6AF7">
        <w:rPr>
          <w:rFonts w:ascii="Times New Roman" w:hAnsi="Times New Roman"/>
          <w:sz w:val="24"/>
        </w:rPr>
        <w:t>. Razlike su u površini na kojoj djeluje, time i visini štete, no načelno se radi o gotovo istim</w:t>
      </w:r>
      <w:r w:rsidR="00742C2B">
        <w:rPr>
          <w:rFonts w:ascii="Times New Roman" w:hAnsi="Times New Roman"/>
          <w:sz w:val="24"/>
        </w:rPr>
        <w:t xml:space="preserve"> negativnim utjecajima na stanovnike i materijalnu imovinu </w:t>
      </w:r>
      <w:r w:rsidR="00691B5E">
        <w:rPr>
          <w:rFonts w:ascii="Times New Roman" w:hAnsi="Times New Roman"/>
          <w:sz w:val="24"/>
        </w:rPr>
        <w:t xml:space="preserve">kao npr. </w:t>
      </w:r>
      <w:r w:rsidR="00742C2B">
        <w:rPr>
          <w:rFonts w:ascii="Times New Roman" w:hAnsi="Times New Roman"/>
          <w:sz w:val="24"/>
        </w:rPr>
        <w:t>klizišta u Kostajnici i niz klizišta u sjevernom dijelu Hrvatske</w:t>
      </w:r>
      <w:r w:rsidR="00A95334">
        <w:rPr>
          <w:rFonts w:ascii="Times New Roman" w:hAnsi="Times New Roman"/>
          <w:sz w:val="24"/>
        </w:rPr>
        <w:t xml:space="preserve"> te odrona u južnim krajevima Hrvatske.</w:t>
      </w:r>
    </w:p>
    <w:p w14:paraId="7044487F" w14:textId="77777777" w:rsidR="00115A9B" w:rsidRDefault="00115A9B">
      <w:pPr>
        <w:spacing w:line="240" w:lineRule="auto"/>
        <w:rPr>
          <w:rFonts w:ascii="Times New Roman" w:hAnsi="Times New Roman"/>
          <w:sz w:val="24"/>
        </w:rPr>
      </w:pPr>
    </w:p>
    <w:p w14:paraId="45D05A76" w14:textId="77777777" w:rsidR="00496804" w:rsidRDefault="0037359D">
      <w:pPr>
        <w:spacing w:line="240" w:lineRule="auto"/>
        <w:rPr>
          <w:rFonts w:ascii="Times New Roman" w:hAnsi="Times New Roman"/>
          <w:sz w:val="24"/>
        </w:rPr>
      </w:pPr>
      <w:r>
        <w:rPr>
          <w:rFonts w:ascii="Times New Roman" w:hAnsi="Times New Roman"/>
          <w:sz w:val="24"/>
        </w:rPr>
        <w:t xml:space="preserve">U provedbi projekata nužno je integrirati primjenu načela kružnog gospodarenja prostorom i zgradama uz odgovarajuće mjere kojima se osiguravaju temeljni zahtjevi za zgrade tijekom projektiranja, gradnje, kao i njihovo očuvanje tijekom uporabe građevine. Rekonstrukcija ili obnova zgrada prema načelima kružnog gospodarenja prostorom i zgradama stoga bi trebala podrazumijevati i primjenu protupotresnih mjera koje podrazumijevaju obnavljanje izvornih karakteristika konstrukcije ili njihovu nadogradnju te smanjenje budućeg seizmičkog odziva. </w:t>
      </w:r>
    </w:p>
    <w:p w14:paraId="45D05A77" w14:textId="77777777" w:rsidR="00496804" w:rsidRDefault="00496804">
      <w:pPr>
        <w:spacing w:line="240" w:lineRule="auto"/>
        <w:rPr>
          <w:rFonts w:ascii="Times New Roman" w:hAnsi="Times New Roman"/>
          <w:sz w:val="24"/>
        </w:rPr>
      </w:pPr>
    </w:p>
    <w:p w14:paraId="45D05A78" w14:textId="77777777" w:rsidR="00496804" w:rsidRDefault="00496804">
      <w:pPr>
        <w:spacing w:line="240" w:lineRule="auto"/>
        <w:rPr>
          <w:rFonts w:ascii="Times New Roman" w:hAnsi="Times New Roman"/>
          <w:sz w:val="24"/>
        </w:rPr>
      </w:pPr>
    </w:p>
    <w:p w14:paraId="45D05A79" w14:textId="77777777" w:rsidR="00496804" w:rsidRDefault="0037359D">
      <w:pPr>
        <w:pStyle w:val="Naslov2"/>
        <w:numPr>
          <w:ilvl w:val="2"/>
          <w:numId w:val="8"/>
        </w:numPr>
        <w:spacing w:line="259" w:lineRule="auto"/>
        <w:ind w:left="709" w:hanging="709"/>
        <w:rPr>
          <w:rFonts w:ascii="Times New Roman" w:hAnsi="Times New Roman" w:cs="Times New Roman"/>
          <w:color w:val="auto"/>
          <w:sz w:val="24"/>
          <w:szCs w:val="24"/>
        </w:rPr>
      </w:pPr>
      <w:bookmarkStart w:id="129" w:name="_Toc51851635"/>
      <w:r>
        <w:rPr>
          <w:rFonts w:ascii="Times New Roman" w:hAnsi="Times New Roman" w:cs="Times New Roman"/>
          <w:color w:val="auto"/>
          <w:sz w:val="24"/>
          <w:szCs w:val="24"/>
        </w:rPr>
        <w:t>POŽAR</w:t>
      </w:r>
      <w:bookmarkEnd w:id="129"/>
    </w:p>
    <w:p w14:paraId="45D05A7A" w14:textId="77777777" w:rsidR="00496804" w:rsidRDefault="00496804">
      <w:pPr>
        <w:spacing w:line="240" w:lineRule="auto"/>
        <w:rPr>
          <w:rFonts w:ascii="Times New Roman" w:hAnsi="Times New Roman"/>
          <w:sz w:val="24"/>
        </w:rPr>
      </w:pPr>
    </w:p>
    <w:p w14:paraId="45D05A7B" w14:textId="77777777" w:rsidR="00496804" w:rsidRDefault="0037359D">
      <w:pPr>
        <w:spacing w:line="240" w:lineRule="auto"/>
        <w:rPr>
          <w:rFonts w:ascii="Times New Roman" w:hAnsi="Times New Roman"/>
          <w:sz w:val="24"/>
        </w:rPr>
      </w:pPr>
      <w:r>
        <w:rPr>
          <w:rFonts w:ascii="Times New Roman" w:hAnsi="Times New Roman"/>
          <w:sz w:val="24"/>
        </w:rPr>
        <w:t>Požar je samopodržavajući proces gorenja koji se nekontrolirano širi u prostoru. Zbog požara mogu nastati ozljede osoba, materijalne štete na građevinama i objektima, kao i utjecaji na okoliš. Ugroza većeg broja ljudi ili imovine može nastati u objektima gdje boravi veći broj ljudi, u prometnim sredstvima, tunelima, tehnološkim postrojenjima i ostalim dijelovima infrastrukture gdje se pojavljuju zapaljive tvari ili u slučajevima velikih šumskih požara.</w:t>
      </w:r>
    </w:p>
    <w:p w14:paraId="45D05A7C" w14:textId="77777777" w:rsidR="00496804" w:rsidRDefault="00496804">
      <w:pPr>
        <w:spacing w:line="240" w:lineRule="auto"/>
        <w:rPr>
          <w:rFonts w:ascii="Times New Roman" w:hAnsi="Times New Roman"/>
          <w:sz w:val="24"/>
        </w:rPr>
      </w:pPr>
    </w:p>
    <w:p w14:paraId="45D05A7D"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sz w:val="24"/>
          <w:szCs w:val="24"/>
        </w:rPr>
        <w:t xml:space="preserve">Kako bi građevine u vrijeme požara ostale sigurne za sve koji u njima borave, Zakon o gradnji je u članku 10. uredio se da građevine moraju projektirati i graditi na način da se u slučaju izbijanja požara osigura nosivost konstrukcije tijekom određenog vremena, spriječi nastanak i širenje požara i dima unutar građevine, kao i na susjedne, omogući da osobe mogu neozlijeđene napustiti građevinu, odnosno da se omogući njihovo spašavanje i zaštita spašavatelja. Otpornost na požar i drugi zahtjevi koje građevina mora zadovoljiti u slučaju požara detaljnije su propisani </w:t>
      </w:r>
      <w:r>
        <w:rPr>
          <w:rFonts w:ascii="Times New Roman" w:hAnsi="Times New Roman" w:cs="Times New Roman"/>
          <w:bCs/>
          <w:sz w:val="24"/>
          <w:szCs w:val="24"/>
        </w:rPr>
        <w:t>Pravilnikom o otpornosti na požar i drugim zahtjevima koje građevine moraju zadovoljiti u slučaju požara</w:t>
      </w:r>
      <w:r>
        <w:rPr>
          <w:rStyle w:val="Referencafusnote"/>
          <w:rFonts w:ascii="Times New Roman" w:hAnsi="Times New Roman" w:cs="Times New Roman"/>
          <w:sz w:val="24"/>
          <w:szCs w:val="24"/>
        </w:rPr>
        <w:footnoteReference w:id="51"/>
      </w:r>
      <w:r>
        <w:rPr>
          <w:rFonts w:ascii="Times New Roman" w:hAnsi="Times New Roman" w:cs="Times New Roman"/>
          <w:bCs/>
          <w:sz w:val="24"/>
          <w:szCs w:val="24"/>
        </w:rPr>
        <w:t>,</w:t>
      </w:r>
      <w:r>
        <w:rPr>
          <w:rFonts w:ascii="Times New Roman" w:hAnsi="Times New Roman" w:cs="Times New Roman"/>
          <w:sz w:val="24"/>
          <w:szCs w:val="24"/>
        </w:rPr>
        <w:t xml:space="preserve"> no odredbe se ne odnose na građevine upisane u Registar kulturnih dobara Republike Hrvatske ili građevine koje se nalaze u kulturno-povijesnoj cjelini upisanoj u taj Registar. Pravilnik o jednostavnim i drugim građevinama i radovima</w:t>
      </w:r>
      <w:r>
        <w:rPr>
          <w:rStyle w:val="Referencafusnote"/>
          <w:rFonts w:ascii="Times New Roman" w:hAnsi="Times New Roman" w:cs="Times New Roman"/>
          <w:sz w:val="24"/>
          <w:szCs w:val="24"/>
        </w:rPr>
        <w:footnoteReference w:id="52"/>
      </w:r>
      <w:r>
        <w:rPr>
          <w:rFonts w:ascii="Times New Roman" w:hAnsi="Times New Roman" w:cs="Times New Roman"/>
          <w:sz w:val="24"/>
          <w:szCs w:val="24"/>
        </w:rPr>
        <w:t xml:space="preserve"> omogućio je izvođenje radova energetske obnove bez građevinske dozvole i glavnog projekta ili prema glavnom projektu bez građevinske dozvole uz uključenje odgovornosti sudionika u procesu gradnje.</w:t>
      </w:r>
    </w:p>
    <w:p w14:paraId="45D05A7E" w14:textId="77777777" w:rsidR="00496804" w:rsidRDefault="00496804">
      <w:pPr>
        <w:spacing w:line="240" w:lineRule="auto"/>
        <w:ind w:left="720" w:hanging="720"/>
        <w:rPr>
          <w:rFonts w:ascii="Times New Roman" w:hAnsi="Times New Roman"/>
          <w:sz w:val="24"/>
        </w:rPr>
      </w:pPr>
    </w:p>
    <w:p w14:paraId="45D05A7F" w14:textId="77777777" w:rsidR="00496804" w:rsidRDefault="0037359D">
      <w:pPr>
        <w:spacing w:line="240" w:lineRule="auto"/>
        <w:rPr>
          <w:rFonts w:ascii="Times New Roman" w:hAnsi="Times New Roman"/>
          <w:sz w:val="24"/>
        </w:rPr>
      </w:pPr>
      <w:r>
        <w:rPr>
          <w:rFonts w:ascii="Times New Roman" w:hAnsi="Times New Roman"/>
          <w:sz w:val="24"/>
        </w:rPr>
        <w:t xml:space="preserve">U smislu Procjene rizika od katastrofa za Republiku Hrvatsku, požari otvorenog tipa prepoznati su kao neprihvatljiv rizik koji je potrebno smanjiti u najkraćem mogućem roku na nacionalnoj razini. Na njihovu pojavu utječu klimatske promjene, a predstavljaju prvenstveno klimatski pritisak na prostor. Zbog svog geografskog položaja, posebice činjenice da RH ulazi u grupu mediteranskih zemalja, naglašena je ugroženost od požara raslinja u ljetnom razdoblju u priobalnom pojasu i na otocima. Ovi požari uglavnom su usmjereni na otvorenom prostoru na površine šumskog, poljoprivrednog i ostalog neobrađenog i zapuštenog zemljišta, a generiraju poremećaje cijelog ekosustava i teško nadoknadive gospodarske štete, velike troškove obnove i druge posredne i neposredne gubitke. Dodatno, oni kontaminiraju zrak na užem prostoru, a uzrokuju i dugoročne štete </w:t>
      </w:r>
      <w:r>
        <w:rPr>
          <w:rFonts w:ascii="Times New Roman" w:hAnsi="Times New Roman"/>
          <w:sz w:val="24"/>
        </w:rPr>
        <w:lastRenderedPageBreak/>
        <w:t>emisijom ugljikovog dioksida. Mogu ugroziti veći broj ljudi i imovinu kada će biti potrebna evakuacija lokalnog stanovništva, turista i imovine i njihovo zbrinjavanje na sigurna mjesta, kao i kritičnu infrastrukturu (pruga, autocesta, distribucija energenata i slično).</w:t>
      </w:r>
    </w:p>
    <w:p w14:paraId="45D05A80" w14:textId="77777777" w:rsidR="00496804" w:rsidRDefault="00496804">
      <w:pPr>
        <w:spacing w:line="240" w:lineRule="auto"/>
        <w:rPr>
          <w:rFonts w:ascii="Times New Roman" w:hAnsi="Times New Roman"/>
          <w:sz w:val="24"/>
        </w:rPr>
      </w:pPr>
    </w:p>
    <w:p w14:paraId="45D05A81" w14:textId="77777777" w:rsidR="00496804" w:rsidRDefault="00496804">
      <w:pPr>
        <w:spacing w:line="240" w:lineRule="auto"/>
        <w:rPr>
          <w:rFonts w:ascii="Times New Roman" w:hAnsi="Times New Roman"/>
          <w:sz w:val="24"/>
        </w:rPr>
      </w:pPr>
    </w:p>
    <w:p w14:paraId="45D05A82"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130" w:name="_Toc51851636"/>
      <w:r>
        <w:rPr>
          <w:rFonts w:ascii="Times New Roman" w:hAnsi="Times New Roman" w:cs="Times New Roman"/>
          <w:color w:val="auto"/>
          <w:sz w:val="24"/>
          <w:szCs w:val="24"/>
        </w:rPr>
        <w:t>POPLAVE USLIJED IZLIJEVANJA KOPNENIH VODENIH TIJELA I PODIZANJA RAZINE MORA</w:t>
      </w:r>
      <w:bookmarkEnd w:id="130"/>
    </w:p>
    <w:p w14:paraId="45D05A83" w14:textId="77777777" w:rsidR="00496804" w:rsidRDefault="00496804">
      <w:pPr>
        <w:spacing w:line="240" w:lineRule="auto"/>
        <w:rPr>
          <w:rFonts w:ascii="Times New Roman" w:hAnsi="Times New Roman"/>
          <w:sz w:val="24"/>
        </w:rPr>
      </w:pPr>
    </w:p>
    <w:p w14:paraId="45D05A84" w14:textId="77777777" w:rsidR="00496804" w:rsidRDefault="0037359D">
      <w:pPr>
        <w:spacing w:line="240" w:lineRule="auto"/>
        <w:rPr>
          <w:rFonts w:ascii="Times New Roman" w:hAnsi="Times New Roman"/>
          <w:sz w:val="24"/>
        </w:rPr>
      </w:pPr>
      <w:r>
        <w:rPr>
          <w:rFonts w:ascii="Times New Roman" w:hAnsi="Times New Roman"/>
          <w:sz w:val="24"/>
        </w:rPr>
        <w:t xml:space="preserve">Republika Hrvatska je u znatnoj mjeri izložena pojavi poplava. SPRRH navodi da su prirodnim poplavama posebno ugrožena: porječja velikih rijeka dunavskog slijeva (kao posljedica obilnih padalina ili naglog topljenja snijega), područja uz manje vodotoke (zbog kratkotrajnih intenzivnih kiša, a obično su smještena izvan sustava obrane od poplava), krška polja (zbog obilnih padalina i/ili naglog topljenja snijega u kombinaciji s nedostatnim upojnim kapacitetima prirodnih ponora), ravničarske površine uz unutarnje vode te obalno područje (poplave mora). </w:t>
      </w:r>
    </w:p>
    <w:p w14:paraId="45D05A85" w14:textId="77777777" w:rsidR="00496804" w:rsidRDefault="00496804">
      <w:pPr>
        <w:spacing w:line="240" w:lineRule="auto"/>
        <w:rPr>
          <w:rFonts w:ascii="Times New Roman" w:hAnsi="Times New Roman"/>
          <w:sz w:val="24"/>
        </w:rPr>
      </w:pPr>
    </w:p>
    <w:p w14:paraId="45D05A86" w14:textId="77777777" w:rsidR="00496804" w:rsidRDefault="0037359D">
      <w:pPr>
        <w:spacing w:line="240" w:lineRule="auto"/>
        <w:rPr>
          <w:rFonts w:ascii="Times New Roman" w:hAnsi="Times New Roman"/>
          <w:sz w:val="24"/>
        </w:rPr>
      </w:pPr>
      <w:r>
        <w:rPr>
          <w:rFonts w:ascii="Times New Roman" w:hAnsi="Times New Roman"/>
          <w:sz w:val="24"/>
        </w:rPr>
        <w:t>Utjecaj klimatskih promjena izrazito je vidljiv u obalnim područjima. U priobalnom području je prisutan porast morske razine koji bi, prema procjenama, mogao znatno utjecati na život ljudi i u konačnici potaknuti ekološke migracije. Porast morske razine očekuje se do pola metra idućih stotinu godina, zbog čega bi se površina obalnog pojasa izložena toj pojavi mogla povećati sa 270 km</w:t>
      </w:r>
      <w:r>
        <w:rPr>
          <w:rFonts w:ascii="Times New Roman" w:hAnsi="Times New Roman"/>
          <w:sz w:val="24"/>
          <w:vertAlign w:val="superscript"/>
        </w:rPr>
        <w:t>2</w:t>
      </w:r>
      <w:r>
        <w:rPr>
          <w:rFonts w:ascii="Times New Roman" w:hAnsi="Times New Roman"/>
          <w:sz w:val="24"/>
        </w:rPr>
        <w:t xml:space="preserve"> na 320–360 km</w:t>
      </w:r>
      <w:r>
        <w:rPr>
          <w:rFonts w:ascii="Times New Roman" w:hAnsi="Times New Roman"/>
          <w:sz w:val="24"/>
          <w:vertAlign w:val="superscript"/>
        </w:rPr>
        <w:t>2</w:t>
      </w:r>
      <w:r>
        <w:rPr>
          <w:rFonts w:ascii="Times New Roman" w:hAnsi="Times New Roman"/>
          <w:sz w:val="24"/>
        </w:rPr>
        <w:t>. Ekstremne razine mora najviše pogađaju područja Zadra i Šibenika. Razvoj obalnog pojasa uz more (takozvani „ribbon development“) zahtijeva stalne prilagodbe rastućoj razini mora stoga je potrebno ovaj aspekt imati u vidu prilikom izrade prostornih planova i planiranja nove gradnje. Ovakav pristup će smanjiti investicijska ulaganja i investicijsko održavanje u prostor i zgrade.</w:t>
      </w:r>
    </w:p>
    <w:p w14:paraId="45D05A87" w14:textId="77777777" w:rsidR="00496804" w:rsidRDefault="00496804">
      <w:pPr>
        <w:spacing w:line="240" w:lineRule="auto"/>
        <w:rPr>
          <w:rFonts w:ascii="Times New Roman" w:hAnsi="Times New Roman"/>
          <w:sz w:val="24"/>
        </w:rPr>
      </w:pPr>
    </w:p>
    <w:p w14:paraId="45D05A88" w14:textId="58216A1A" w:rsidR="00496804" w:rsidRDefault="0037359D">
      <w:pPr>
        <w:spacing w:line="240" w:lineRule="auto"/>
        <w:rPr>
          <w:rFonts w:ascii="Times New Roman" w:hAnsi="Times New Roman"/>
          <w:sz w:val="24"/>
        </w:rPr>
      </w:pPr>
      <w:r>
        <w:rPr>
          <w:rFonts w:ascii="Times New Roman" w:hAnsi="Times New Roman"/>
          <w:sz w:val="24"/>
        </w:rPr>
        <w:t>U urbanim područjima poplave nastaju uslijed kratkotrajnih oborina velikog intenziteta. Zaštitne mjere za ovu vrstu poplava ponajprije se odnose na planiranje sustava odvodnje oborinskih voda u naseljima na lokalnoj razini. Kada se govori o zgradama, moguće posljedice klimatskih promjena potrebno je pratiti već u fazi projektiranja kroz npr. odabir odgovarajućih lokacija za gradnju (izbjegavati gradnju na neprikladnim lokacijama – u zonama plavljenja, na odronima i klizištima), odabir materijala i proizvoda odgovarajućih svojstava kako se isti, uslijed novonastalih promjena, ne bi trebali učestalo mijenjati, pozicioniranje prvog kata zgrade iznad očekivane nadmorske visine poplave. Drugi pristup bio bi omogućavanje ulaska vode u strukturu zgrade bez nastanka štete. Tada je potrebno osigurati kvalitetno temeljenje zgrade, koristeći materijale otporne na poplave u područjima koja će biti pod vodom, štititi mehaničku i komunalnu opremu te koristiti otvore da bi voda tijekom poplave mogla nesmetano proći. Navedene mjere ublažit će negativne posljedice klimatskih promjena, a u konačnici doprinijeti smanjenju nastanka građevnog otpada.</w:t>
      </w:r>
    </w:p>
    <w:p w14:paraId="45D05A89" w14:textId="77777777" w:rsidR="00496804" w:rsidRDefault="00496804">
      <w:pPr>
        <w:spacing w:line="240" w:lineRule="auto"/>
        <w:rPr>
          <w:rFonts w:ascii="Times New Roman" w:hAnsi="Times New Roman"/>
          <w:sz w:val="24"/>
        </w:rPr>
      </w:pPr>
    </w:p>
    <w:p w14:paraId="45D05A8A" w14:textId="77777777" w:rsidR="00496804" w:rsidRDefault="00496804">
      <w:pPr>
        <w:spacing w:line="240" w:lineRule="auto"/>
        <w:rPr>
          <w:rFonts w:ascii="Times New Roman" w:hAnsi="Times New Roman"/>
          <w:sz w:val="24"/>
        </w:rPr>
      </w:pPr>
    </w:p>
    <w:p w14:paraId="45D05A8B" w14:textId="77777777" w:rsidR="00496804" w:rsidRDefault="0037359D">
      <w:pPr>
        <w:pStyle w:val="Naslov2"/>
        <w:ind w:left="426" w:hanging="426"/>
        <w:rPr>
          <w:rFonts w:ascii="Times New Roman" w:hAnsi="Times New Roman" w:cs="Times New Roman"/>
          <w:color w:val="auto"/>
          <w:sz w:val="24"/>
          <w:szCs w:val="24"/>
        </w:rPr>
      </w:pPr>
      <w:bookmarkStart w:id="131" w:name="_Toc27948611"/>
      <w:bookmarkStart w:id="132" w:name="_Toc27856693"/>
      <w:bookmarkStart w:id="133" w:name="_Toc51851637"/>
      <w:r>
        <w:rPr>
          <w:rFonts w:ascii="Times New Roman" w:hAnsi="Times New Roman" w:cs="Times New Roman"/>
          <w:color w:val="auto"/>
          <w:sz w:val="24"/>
          <w:szCs w:val="24"/>
        </w:rPr>
        <w:t>GRAĐEVNI OTPAD</w:t>
      </w:r>
      <w:bookmarkEnd w:id="131"/>
      <w:bookmarkEnd w:id="132"/>
      <w:bookmarkEnd w:id="133"/>
    </w:p>
    <w:p w14:paraId="45D05A8C" w14:textId="77777777" w:rsidR="00496804" w:rsidRDefault="00496804">
      <w:pPr>
        <w:spacing w:line="240" w:lineRule="auto"/>
        <w:rPr>
          <w:rFonts w:ascii="Times New Roman" w:hAnsi="Times New Roman"/>
          <w:sz w:val="24"/>
          <w:lang w:eastAsia="hr-HR"/>
        </w:rPr>
      </w:pPr>
    </w:p>
    <w:p w14:paraId="45D05A8D" w14:textId="77777777" w:rsidR="00496804" w:rsidRDefault="0037359D">
      <w:pPr>
        <w:spacing w:line="240" w:lineRule="auto"/>
        <w:rPr>
          <w:rFonts w:ascii="Times New Roman" w:hAnsi="Times New Roman"/>
          <w:sz w:val="24"/>
        </w:rPr>
      </w:pPr>
      <w:r>
        <w:rPr>
          <w:rFonts w:ascii="Times New Roman" w:hAnsi="Times New Roman"/>
          <w:sz w:val="24"/>
        </w:rPr>
        <w:t xml:space="preserve">U procesu građenja koristi se energija i stvara otpad koji ovisi o korištenim materijalima. Uvažavajući načela kružnog gospodarenja bilo bi poželjno koristiti materijale sa što manjim negativnim utjecajem na okoliš i što manjim zahtjevima prema potrošnji energije. Nadalje, uporabni vijek konstrukcije ovisi o trajnosti upotrijebljenog materijala i mogućnosti njene obnove. Potrebno je detaljno razmotriti postotak konstrukcije koji se može ponovno upotrijebiti, količinu materijala koja se može reciklirati, kakav je utjecaj otpada koji će nastati rušenjem konstrukcije i koji se materijali mogu odlagati. Prema procjenama, približno 90% građevnog otpada i otpada od rušenja moguće je ponovno upotrijebiti, ovisno o vrsti konstrukcije i lokalnom tržištu. Osim za nasipavanje, građevni otpad moguće je upotrijebiti za izradu novih betonskih ili asfaltnih mješavina, što mu daje dodatnu vrijednost. </w:t>
      </w:r>
      <w:r>
        <w:rPr>
          <w:rFonts w:ascii="Times New Roman" w:hAnsi="Times New Roman"/>
          <w:sz w:val="24"/>
        </w:rPr>
        <w:lastRenderedPageBreak/>
        <w:t>Trenutno je upotreba recikliranog agregata u betonima za konstrukcijske namjene još uvijek ograničena zbog nečistoća u recikliranom agregatu, njegove manje gustoće i povećane apsorpcije u usporedbi s agregatima prirodnog porijekla. Najveći problem primjene recikliranog agregata u betonu su onečišćenja u obliku ostataka drva, papira, žbuke, plastike, ulja i dr. te veća apsorpcija od prirodnih agregata zbog ostataka starog cementnog morta na zrnima agregata. Kombiniranjem recikliranog i prirodnog (riječnog ili drobljenog) agregata moguće je postići zadovoljavajuća svojstva betona za mnogobrojne namjene. Mogućnost upotrebe recikliranih materijala u građevnim proizvodima uvelike ovisi u njihovoj sukladnosti zahtjevima definiranima u europskim (i hrvatskim) normama.</w:t>
      </w:r>
    </w:p>
    <w:p w14:paraId="45D05A8E" w14:textId="77777777" w:rsidR="00496804" w:rsidRDefault="00496804">
      <w:pPr>
        <w:spacing w:line="240" w:lineRule="auto"/>
        <w:rPr>
          <w:rFonts w:ascii="Times New Roman" w:hAnsi="Times New Roman"/>
          <w:sz w:val="24"/>
          <w:lang w:eastAsia="hr-HR"/>
        </w:rPr>
      </w:pPr>
    </w:p>
    <w:p w14:paraId="45D05A8F" w14:textId="27FE62FD" w:rsidR="00496804" w:rsidRDefault="0037359D">
      <w:pPr>
        <w:spacing w:line="240" w:lineRule="auto"/>
        <w:rPr>
          <w:rFonts w:ascii="Times New Roman" w:hAnsi="Times New Roman"/>
          <w:sz w:val="24"/>
          <w:shd w:val="clear" w:color="auto" w:fill="FFFFFF"/>
        </w:rPr>
      </w:pPr>
      <w:r>
        <w:rPr>
          <w:rFonts w:ascii="Times New Roman" w:hAnsi="Times New Roman"/>
          <w:sz w:val="24"/>
          <w:shd w:val="clear" w:color="auto" w:fill="FFFFFF"/>
        </w:rPr>
        <w:t xml:space="preserve">Prema </w:t>
      </w:r>
      <w:r w:rsidR="00A8543C">
        <w:rPr>
          <w:rFonts w:ascii="Times New Roman" w:hAnsi="Times New Roman"/>
          <w:sz w:val="24"/>
          <w:shd w:val="clear" w:color="auto" w:fill="FFFFFF"/>
        </w:rPr>
        <w:t>Zakon</w:t>
      </w:r>
      <w:r w:rsidR="000C4740">
        <w:rPr>
          <w:rFonts w:ascii="Times New Roman" w:hAnsi="Times New Roman"/>
          <w:sz w:val="24"/>
          <w:shd w:val="clear" w:color="auto" w:fill="FFFFFF"/>
        </w:rPr>
        <w:t>u</w:t>
      </w:r>
      <w:r w:rsidR="00A8543C">
        <w:rPr>
          <w:rFonts w:ascii="Times New Roman" w:hAnsi="Times New Roman"/>
          <w:sz w:val="24"/>
          <w:shd w:val="clear" w:color="auto" w:fill="FFFFFF"/>
        </w:rPr>
        <w:t xml:space="preserve"> o gospodarenju otpad</w:t>
      </w:r>
      <w:r w:rsidR="00504CD1">
        <w:rPr>
          <w:rFonts w:ascii="Times New Roman" w:hAnsi="Times New Roman"/>
          <w:sz w:val="24"/>
          <w:shd w:val="clear" w:color="auto" w:fill="FFFFFF"/>
        </w:rPr>
        <w:t>om</w:t>
      </w:r>
      <w:r>
        <w:rPr>
          <w:rStyle w:val="Referencafusnote"/>
          <w:rFonts w:ascii="Times New Roman" w:hAnsi="Times New Roman"/>
          <w:sz w:val="24"/>
        </w:rPr>
        <w:footnoteReference w:id="53"/>
      </w:r>
      <w:r>
        <w:rPr>
          <w:rFonts w:ascii="Times New Roman" w:hAnsi="Times New Roman"/>
          <w:sz w:val="24"/>
          <w:shd w:val="clear" w:color="auto" w:fill="FFFFFF"/>
        </w:rPr>
        <w:t xml:space="preserve">, građevni otpad </w:t>
      </w:r>
      <w:r w:rsidR="005D1D87">
        <w:rPr>
          <w:rFonts w:ascii="Times New Roman" w:hAnsi="Times New Roman"/>
          <w:sz w:val="24"/>
          <w:shd w:val="clear" w:color="auto" w:fill="FFFFFF"/>
        </w:rPr>
        <w:t xml:space="preserve">definiran </w:t>
      </w:r>
      <w:r>
        <w:rPr>
          <w:rFonts w:ascii="Times New Roman" w:hAnsi="Times New Roman"/>
          <w:sz w:val="24"/>
          <w:shd w:val="clear" w:color="auto" w:fill="FFFFFF"/>
        </w:rPr>
        <w:t>je</w:t>
      </w:r>
      <w:r w:rsidR="00681B29">
        <w:rPr>
          <w:rFonts w:ascii="Times New Roman" w:hAnsi="Times New Roman"/>
          <w:sz w:val="24"/>
          <w:shd w:val="clear" w:color="auto" w:fill="FFFFFF"/>
        </w:rPr>
        <w:t xml:space="preserve"> </w:t>
      </w:r>
      <w:r w:rsidR="00A850AC">
        <w:rPr>
          <w:rFonts w:ascii="Times New Roman" w:hAnsi="Times New Roman"/>
          <w:sz w:val="24"/>
          <w:shd w:val="clear" w:color="auto" w:fill="FFFFFF"/>
        </w:rPr>
        <w:t>kao otpad nastao aktivnostima građenja i rušenj</w:t>
      </w:r>
      <w:r w:rsidR="00B92B8D">
        <w:rPr>
          <w:rFonts w:ascii="Times New Roman" w:hAnsi="Times New Roman"/>
          <w:sz w:val="24"/>
          <w:shd w:val="clear" w:color="auto" w:fill="FFFFFF"/>
        </w:rPr>
        <w:t>a</w:t>
      </w:r>
      <w:r>
        <w:rPr>
          <w:rFonts w:ascii="Times New Roman" w:hAnsi="Times New Roman"/>
          <w:sz w:val="24"/>
          <w:shd w:val="clear" w:color="auto" w:fill="FFFFFF"/>
        </w:rPr>
        <w:t xml:space="preserve">. </w:t>
      </w:r>
      <w:r w:rsidRPr="00351005">
        <w:rPr>
          <w:rFonts w:ascii="Times New Roman" w:hAnsi="Times New Roman"/>
          <w:sz w:val="24"/>
          <w:shd w:val="clear" w:color="auto" w:fill="FFFFFF"/>
        </w:rPr>
        <w:t>Prema načinu nastanka, obuhvaća otpad na gradilištu, otpad od rušenja objekata, otpad nastao kod izgradnje i održavanja prometnica te tlo, kamenje i vegetaciju</w:t>
      </w:r>
      <w:r>
        <w:rPr>
          <w:rFonts w:ascii="Times New Roman" w:hAnsi="Times New Roman"/>
          <w:sz w:val="24"/>
          <w:shd w:val="clear" w:color="auto" w:fill="FFFFFF"/>
        </w:rPr>
        <w:t xml:space="preserve">. </w:t>
      </w:r>
      <w:r w:rsidR="00672C83" w:rsidRPr="00672C83">
        <w:rPr>
          <w:rFonts w:ascii="Times New Roman" w:hAnsi="Times New Roman"/>
          <w:sz w:val="24"/>
          <w:shd w:val="clear" w:color="auto" w:fill="FFFFFF"/>
        </w:rPr>
        <w:t>Zakon o gospodarenju otpadom</w:t>
      </w:r>
      <w:r w:rsidR="00672C83">
        <w:rPr>
          <w:rFonts w:ascii="Times New Roman" w:hAnsi="Times New Roman"/>
          <w:sz w:val="24"/>
          <w:shd w:val="clear" w:color="auto" w:fill="FFFFFF"/>
        </w:rPr>
        <w:t xml:space="preserve"> </w:t>
      </w:r>
      <w:r>
        <w:rPr>
          <w:rFonts w:ascii="Times New Roman" w:hAnsi="Times New Roman"/>
          <w:sz w:val="24"/>
          <w:shd w:val="clear" w:color="auto" w:fill="FFFFFF"/>
        </w:rPr>
        <w:t xml:space="preserve">propisuje red prvenstva gospodarenja otpadom koji čine: sprječavanje nastanka otpada, priprema za ponovnu uporabu, recikliranje, drugi postupci oporabe (npr. energetska oporaba) i zbrinjavanje otpada. </w:t>
      </w:r>
      <w:r w:rsidR="00E55497" w:rsidRPr="00E55497">
        <w:rPr>
          <w:rFonts w:ascii="Times New Roman" w:hAnsi="Times New Roman"/>
          <w:sz w:val="24"/>
          <w:shd w:val="clear" w:color="auto" w:fill="FFFFFF"/>
        </w:rPr>
        <w:t>Osim navedenim Zakonom o gospodarenju otpada, uvjeti za gospodarenje građevnim otpadom propisani su Pravilnikom o gospodarenju otpadom (</w:t>
      </w:r>
      <w:r w:rsidR="004B2279">
        <w:rPr>
          <w:rFonts w:ascii="Times New Roman" w:hAnsi="Times New Roman"/>
          <w:sz w:val="24"/>
          <w:shd w:val="clear" w:color="auto" w:fill="FFFFFF"/>
        </w:rPr>
        <w:t>„</w:t>
      </w:r>
      <w:r w:rsidR="00E55497" w:rsidRPr="00E55497">
        <w:rPr>
          <w:rFonts w:ascii="Times New Roman" w:hAnsi="Times New Roman"/>
          <w:sz w:val="24"/>
          <w:shd w:val="clear" w:color="auto" w:fill="FFFFFF"/>
        </w:rPr>
        <w:t>Narodne novine</w:t>
      </w:r>
      <w:r w:rsidR="004B2279">
        <w:rPr>
          <w:rFonts w:ascii="Times New Roman" w:hAnsi="Times New Roman"/>
          <w:sz w:val="24"/>
          <w:shd w:val="clear" w:color="auto" w:fill="FFFFFF"/>
        </w:rPr>
        <w:t>“</w:t>
      </w:r>
      <w:r w:rsidR="00E55497" w:rsidRPr="00E55497">
        <w:rPr>
          <w:rFonts w:ascii="Times New Roman" w:hAnsi="Times New Roman"/>
          <w:sz w:val="24"/>
          <w:shd w:val="clear" w:color="auto" w:fill="FFFFFF"/>
        </w:rPr>
        <w:t>, broj 81/20</w:t>
      </w:r>
      <w:r w:rsidR="004B2279">
        <w:rPr>
          <w:rFonts w:ascii="Times New Roman" w:hAnsi="Times New Roman"/>
          <w:sz w:val="24"/>
          <w:shd w:val="clear" w:color="auto" w:fill="FFFFFF"/>
        </w:rPr>
        <w:t>.</w:t>
      </w:r>
      <w:r w:rsidR="00E55497" w:rsidRPr="00E55497">
        <w:rPr>
          <w:rFonts w:ascii="Times New Roman" w:hAnsi="Times New Roman"/>
          <w:sz w:val="24"/>
          <w:shd w:val="clear" w:color="auto" w:fill="FFFFFF"/>
        </w:rPr>
        <w:t>) i Pravilnikom o građevnom otpadu i otpadu koji sadrži azbest (</w:t>
      </w:r>
      <w:r w:rsidR="004B2279">
        <w:rPr>
          <w:rFonts w:ascii="Times New Roman" w:hAnsi="Times New Roman"/>
          <w:sz w:val="24"/>
          <w:shd w:val="clear" w:color="auto" w:fill="FFFFFF"/>
        </w:rPr>
        <w:t>„</w:t>
      </w:r>
      <w:r w:rsidR="00E55497" w:rsidRPr="00E55497">
        <w:rPr>
          <w:rFonts w:ascii="Times New Roman" w:hAnsi="Times New Roman"/>
          <w:sz w:val="24"/>
          <w:shd w:val="clear" w:color="auto" w:fill="FFFFFF"/>
        </w:rPr>
        <w:t>Narodne novine</w:t>
      </w:r>
      <w:r w:rsidR="00A0703D">
        <w:rPr>
          <w:rFonts w:ascii="Times New Roman" w:hAnsi="Times New Roman"/>
          <w:sz w:val="24"/>
          <w:shd w:val="clear" w:color="auto" w:fill="FFFFFF"/>
        </w:rPr>
        <w:t>“</w:t>
      </w:r>
      <w:r w:rsidR="00E55497" w:rsidRPr="00E55497">
        <w:rPr>
          <w:rFonts w:ascii="Times New Roman" w:hAnsi="Times New Roman"/>
          <w:sz w:val="24"/>
          <w:shd w:val="clear" w:color="auto" w:fill="FFFFFF"/>
        </w:rPr>
        <w:t>, broj 69/16).</w:t>
      </w:r>
    </w:p>
    <w:p w14:paraId="45D05A90" w14:textId="77777777" w:rsidR="00496804" w:rsidRDefault="00496804">
      <w:pPr>
        <w:spacing w:line="240" w:lineRule="auto"/>
        <w:rPr>
          <w:rFonts w:ascii="Times New Roman" w:hAnsi="Times New Roman"/>
          <w:sz w:val="24"/>
          <w:shd w:val="clear" w:color="auto" w:fill="FFFFFF"/>
        </w:rPr>
      </w:pPr>
    </w:p>
    <w:p w14:paraId="45D05A91" w14:textId="77777777" w:rsidR="00496804" w:rsidRDefault="0037359D">
      <w:pPr>
        <w:spacing w:line="240" w:lineRule="auto"/>
        <w:rPr>
          <w:rFonts w:ascii="Times New Roman" w:hAnsi="Times New Roman"/>
          <w:sz w:val="24"/>
          <w:shd w:val="clear" w:color="auto" w:fill="FFFFFF"/>
        </w:rPr>
      </w:pPr>
      <w:r>
        <w:rPr>
          <w:rFonts w:ascii="Times New Roman" w:hAnsi="Times New Roman"/>
          <w:sz w:val="24"/>
          <w:shd w:val="clear" w:color="auto" w:fill="FFFFFF"/>
        </w:rPr>
        <w:t xml:space="preserve">Neodgovarajuće gospodarenje građevnim otpadom ne samo da onečišćuje okoliš, već ova kategorija otpada zauzima i veliki volumen na odlagalištima otpada. Prema rezultatima analize stanja i projekcijama o količinama proizvedenog građevnog otpada u RH i količinama koje se predviđaju, ova vrsta otpada obzirom na količine koje nastaju posjeduje visoki potencijal za recikliranje. </w:t>
      </w:r>
    </w:p>
    <w:p w14:paraId="45D05A92" w14:textId="77777777" w:rsidR="00496804" w:rsidRDefault="00496804">
      <w:pPr>
        <w:spacing w:line="240" w:lineRule="auto"/>
        <w:rPr>
          <w:rFonts w:ascii="Times New Roman" w:hAnsi="Times New Roman"/>
          <w:sz w:val="24"/>
          <w:shd w:val="clear" w:color="auto" w:fill="FFFFFF"/>
        </w:rPr>
      </w:pPr>
    </w:p>
    <w:p w14:paraId="45D05A93" w14:textId="11101CEE" w:rsidR="00496804" w:rsidRDefault="0037359D">
      <w:pPr>
        <w:spacing w:line="240" w:lineRule="auto"/>
        <w:rPr>
          <w:rFonts w:ascii="Times New Roman" w:hAnsi="Times New Roman"/>
          <w:sz w:val="24"/>
        </w:rPr>
      </w:pPr>
      <w:r>
        <w:rPr>
          <w:rFonts w:ascii="Times New Roman" w:hAnsi="Times New Roman"/>
          <w:sz w:val="24"/>
          <w:shd w:val="clear" w:color="auto" w:fill="FFFFFF"/>
        </w:rPr>
        <w:t>Građevni otpad prepoznat je na europskoj razini kao jedan od prioritetnih tokova otpada. Prema službenim podacima HAOP-a za razdoblje 2011. – 2013. godine prijavljene količine proizvedenog otpada iznose manje od 200</w:t>
      </w:r>
      <w:r w:rsidR="008F1C09">
        <w:rPr>
          <w:rFonts w:ascii="Times New Roman" w:hAnsi="Times New Roman"/>
          <w:sz w:val="24"/>
          <w:shd w:val="clear" w:color="auto" w:fill="FFFFFF"/>
        </w:rPr>
        <w:t xml:space="preserve"> </w:t>
      </w:r>
      <w:r>
        <w:rPr>
          <w:rFonts w:ascii="Times New Roman" w:hAnsi="Times New Roman"/>
          <w:sz w:val="24"/>
          <w:shd w:val="clear" w:color="auto" w:fill="FFFFFF"/>
        </w:rPr>
        <w:t>kg po stanovniku i evidentiran je trend porasta prijavljenih količina u odnosu na prijašnje godine kada su se proizvedene količine kretale ispod navedenih 200</w:t>
      </w:r>
      <w:r w:rsidR="008F1C09">
        <w:rPr>
          <w:rFonts w:ascii="Times New Roman" w:hAnsi="Times New Roman"/>
          <w:sz w:val="24"/>
          <w:shd w:val="clear" w:color="auto" w:fill="FFFFFF"/>
        </w:rPr>
        <w:t xml:space="preserve"> </w:t>
      </w:r>
      <w:r>
        <w:rPr>
          <w:rFonts w:ascii="Times New Roman" w:hAnsi="Times New Roman"/>
          <w:sz w:val="24"/>
          <w:shd w:val="clear" w:color="auto" w:fill="FFFFFF"/>
        </w:rPr>
        <w:t>kg po stanovniku. Za projekciju količina građevnog otpada korišteno je predviđanje iz Industrijske strategije Republike Hrvatske 2014. – 2020. da će fizički obujam građevinskih radova za ovo razdoblje biti konstantno na razini od 88,9% obujma iz 2008. godine. Ako ovu pretpostavku primijenimo na razdoblje izrade Plana gospodarenja otpadom, dolazimo do ukupne količine proizvedenog građevnog otpada u razdoblju 2016. – 2022. od 32,2 milijuna tona</w:t>
      </w:r>
      <w:r>
        <w:rPr>
          <w:rStyle w:val="Referencafusnote"/>
          <w:rFonts w:ascii="Times New Roman" w:hAnsi="Times New Roman"/>
          <w:sz w:val="24"/>
        </w:rPr>
        <w:t xml:space="preserve"> </w:t>
      </w:r>
      <w:r>
        <w:rPr>
          <w:rStyle w:val="Referencafusnote"/>
          <w:rFonts w:ascii="Times New Roman" w:hAnsi="Times New Roman"/>
          <w:sz w:val="24"/>
        </w:rPr>
        <w:footnoteReference w:id="54"/>
      </w:r>
      <w:r>
        <w:rPr>
          <w:rStyle w:val="Referencafusnote"/>
          <w:rFonts w:ascii="Times New Roman" w:hAnsi="Times New Roman"/>
          <w:sz w:val="24"/>
        </w:rPr>
        <w:t>.</w:t>
      </w:r>
    </w:p>
    <w:p w14:paraId="45D05A94" w14:textId="77777777" w:rsidR="00496804" w:rsidRDefault="00496804">
      <w:pPr>
        <w:spacing w:line="240" w:lineRule="auto"/>
        <w:rPr>
          <w:rFonts w:ascii="Times New Roman" w:hAnsi="Times New Roman"/>
          <w:sz w:val="24"/>
        </w:rPr>
      </w:pPr>
    </w:p>
    <w:p w14:paraId="45D05A95" w14:textId="77777777" w:rsidR="00496804" w:rsidRDefault="0037359D">
      <w:pPr>
        <w:spacing w:line="240" w:lineRule="auto"/>
        <w:rPr>
          <w:rFonts w:ascii="Times New Roman" w:hAnsi="Times New Roman"/>
          <w:sz w:val="24"/>
        </w:rPr>
      </w:pPr>
      <w:r>
        <w:rPr>
          <w:rFonts w:ascii="Times New Roman" w:hAnsi="Times New Roman"/>
          <w:sz w:val="24"/>
        </w:rPr>
        <w:t>Statistički podaci koji prate razvoj građevinskog sektora, broj izdanih građevnih dozvola, predviđenu i izvršenu vrijednost građevnih radova te evidenciju srušene površine dani su u nastavku. Iz tablice se može utvrditi pad trenda izgradnje novih građevina kojih je godišnje u prosjeku 8.132 (1% građevnog fonda RH), koji dovodi do stagnacije rasta građevinskog sektora.</w:t>
      </w:r>
    </w:p>
    <w:p w14:paraId="45D05A96" w14:textId="77777777" w:rsidR="00496804" w:rsidRDefault="0037359D">
      <w:pPr>
        <w:spacing w:line="240" w:lineRule="auto"/>
        <w:jc w:val="left"/>
        <w:rPr>
          <w:rFonts w:ascii="Times New Roman" w:hAnsi="Times New Roman"/>
          <w:b/>
          <w:bCs/>
          <w:sz w:val="24"/>
        </w:rPr>
        <w:sectPr w:rsidR="00496804">
          <w:pgSz w:w="11900" w:h="16840"/>
          <w:pgMar w:top="1701" w:right="1134" w:bottom="1134" w:left="1134" w:header="709" w:footer="289" w:gutter="0"/>
          <w:pgNumType w:start="1"/>
          <w:cols w:space="720"/>
          <w:docGrid w:linePitch="299"/>
        </w:sectPr>
      </w:pPr>
      <w:r>
        <w:rPr>
          <w:rFonts w:ascii="Times New Roman" w:hAnsi="Times New Roman"/>
          <w:b/>
          <w:bCs/>
          <w:sz w:val="24"/>
        </w:rPr>
        <w:br w:type="page"/>
      </w:r>
    </w:p>
    <w:p w14:paraId="45D05A97" w14:textId="77777777" w:rsidR="00496804" w:rsidRDefault="00496804">
      <w:pPr>
        <w:spacing w:line="240" w:lineRule="auto"/>
        <w:jc w:val="left"/>
        <w:rPr>
          <w:rFonts w:ascii="Times New Roman" w:hAnsi="Times New Roman"/>
          <w:b/>
          <w:bCs/>
          <w:sz w:val="24"/>
        </w:rPr>
      </w:pPr>
    </w:p>
    <w:p w14:paraId="45D05A98" w14:textId="77777777" w:rsidR="00496804" w:rsidRDefault="00496804">
      <w:pPr>
        <w:spacing w:line="240" w:lineRule="auto"/>
        <w:rPr>
          <w:rFonts w:ascii="Times New Roman" w:hAnsi="Times New Roman"/>
          <w:b/>
          <w:bCs/>
          <w:sz w:val="24"/>
        </w:rPr>
      </w:pPr>
    </w:p>
    <w:p w14:paraId="45D05A99"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9. Statistički podaci za sektor građevinarstvo (F), od 2010. do 2018. godine</w:t>
      </w:r>
      <w:r>
        <w:rPr>
          <w:rStyle w:val="Referencafusnote"/>
          <w:rFonts w:ascii="Times New Roman" w:hAnsi="Times New Roman"/>
          <w:b w:val="0"/>
          <w:bCs w:val="0"/>
          <w:i/>
          <w:iCs/>
          <w:sz w:val="24"/>
          <w:szCs w:val="24"/>
        </w:rPr>
        <w:footnoteReference w:id="55"/>
      </w:r>
    </w:p>
    <w:tbl>
      <w:tblPr>
        <w:tblStyle w:val="Reetkatablice"/>
        <w:tblW w:w="5000" w:type="pct"/>
        <w:jc w:val="center"/>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2270"/>
        <w:gridCol w:w="1303"/>
        <w:gridCol w:w="1305"/>
        <w:gridCol w:w="1305"/>
        <w:gridCol w:w="1305"/>
        <w:gridCol w:w="1305"/>
        <w:gridCol w:w="1305"/>
        <w:gridCol w:w="1305"/>
        <w:gridCol w:w="1305"/>
        <w:gridCol w:w="1297"/>
      </w:tblGrid>
      <w:tr w:rsidR="00496804" w14:paraId="45D05AA4" w14:textId="77777777">
        <w:trPr>
          <w:trHeight w:val="236"/>
          <w:jc w:val="center"/>
        </w:trPr>
        <w:tc>
          <w:tcPr>
            <w:tcW w:w="810" w:type="pct"/>
            <w:shd w:val="clear" w:color="auto" w:fill="FFCCA6" w:themeFill="accent5" w:themeFillTint="66"/>
            <w:vAlign w:val="center"/>
          </w:tcPr>
          <w:p w14:paraId="45D05A9A" w14:textId="77777777" w:rsidR="00496804" w:rsidRDefault="0037359D">
            <w:pPr>
              <w:spacing w:line="240" w:lineRule="auto"/>
              <w:jc w:val="left"/>
              <w:rPr>
                <w:rFonts w:ascii="Times New Roman" w:hAnsi="Times New Roman"/>
                <w:b/>
                <w:bCs/>
                <w:sz w:val="24"/>
              </w:rPr>
            </w:pPr>
            <w:r>
              <w:rPr>
                <w:rFonts w:ascii="Times New Roman" w:hAnsi="Times New Roman"/>
                <w:b/>
                <w:bCs/>
                <w:sz w:val="24"/>
              </w:rPr>
              <w:t>Godina</w:t>
            </w:r>
          </w:p>
        </w:tc>
        <w:tc>
          <w:tcPr>
            <w:tcW w:w="465" w:type="pct"/>
            <w:tcBorders>
              <w:bottom w:val="single" w:sz="4" w:space="0" w:color="auto"/>
            </w:tcBorders>
            <w:shd w:val="clear" w:color="auto" w:fill="FFCCA6" w:themeFill="accent5" w:themeFillTint="66"/>
            <w:vAlign w:val="center"/>
          </w:tcPr>
          <w:p w14:paraId="45D05A9B"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2010.</w:t>
            </w:r>
          </w:p>
        </w:tc>
        <w:tc>
          <w:tcPr>
            <w:tcW w:w="466" w:type="pct"/>
            <w:tcBorders>
              <w:bottom w:val="single" w:sz="4" w:space="0" w:color="auto"/>
            </w:tcBorders>
            <w:shd w:val="clear" w:color="auto" w:fill="FFCCA6" w:themeFill="accent5" w:themeFillTint="66"/>
            <w:vAlign w:val="center"/>
          </w:tcPr>
          <w:p w14:paraId="45D05A9C"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2011.</w:t>
            </w:r>
          </w:p>
        </w:tc>
        <w:tc>
          <w:tcPr>
            <w:tcW w:w="466" w:type="pct"/>
            <w:tcBorders>
              <w:bottom w:val="single" w:sz="4" w:space="0" w:color="auto"/>
            </w:tcBorders>
            <w:shd w:val="clear" w:color="auto" w:fill="FFCCA6" w:themeFill="accent5" w:themeFillTint="66"/>
            <w:vAlign w:val="center"/>
          </w:tcPr>
          <w:p w14:paraId="45D05A9D"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2012.</w:t>
            </w:r>
          </w:p>
        </w:tc>
        <w:tc>
          <w:tcPr>
            <w:tcW w:w="466" w:type="pct"/>
            <w:tcBorders>
              <w:bottom w:val="single" w:sz="4" w:space="0" w:color="auto"/>
            </w:tcBorders>
            <w:shd w:val="clear" w:color="auto" w:fill="FFCCA6" w:themeFill="accent5" w:themeFillTint="66"/>
            <w:vAlign w:val="center"/>
          </w:tcPr>
          <w:p w14:paraId="45D05A9E"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2013.</w:t>
            </w:r>
          </w:p>
        </w:tc>
        <w:tc>
          <w:tcPr>
            <w:tcW w:w="466" w:type="pct"/>
            <w:tcBorders>
              <w:bottom w:val="single" w:sz="4" w:space="0" w:color="auto"/>
            </w:tcBorders>
            <w:shd w:val="clear" w:color="auto" w:fill="FFCCA6" w:themeFill="accent5" w:themeFillTint="66"/>
            <w:vAlign w:val="center"/>
          </w:tcPr>
          <w:p w14:paraId="45D05A9F"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2014.</w:t>
            </w:r>
          </w:p>
        </w:tc>
        <w:tc>
          <w:tcPr>
            <w:tcW w:w="466" w:type="pct"/>
            <w:tcBorders>
              <w:bottom w:val="single" w:sz="4" w:space="0" w:color="auto"/>
            </w:tcBorders>
            <w:shd w:val="clear" w:color="auto" w:fill="FFCCA6" w:themeFill="accent5" w:themeFillTint="66"/>
            <w:vAlign w:val="center"/>
          </w:tcPr>
          <w:p w14:paraId="45D05AA0"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2015.</w:t>
            </w:r>
          </w:p>
        </w:tc>
        <w:tc>
          <w:tcPr>
            <w:tcW w:w="466" w:type="pct"/>
            <w:tcBorders>
              <w:bottom w:val="single" w:sz="4" w:space="0" w:color="auto"/>
            </w:tcBorders>
            <w:shd w:val="clear" w:color="auto" w:fill="FFCCA6" w:themeFill="accent5" w:themeFillTint="66"/>
            <w:vAlign w:val="center"/>
          </w:tcPr>
          <w:p w14:paraId="45D05AA1"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2016.</w:t>
            </w:r>
          </w:p>
        </w:tc>
        <w:tc>
          <w:tcPr>
            <w:tcW w:w="466" w:type="pct"/>
            <w:tcBorders>
              <w:bottom w:val="single" w:sz="4" w:space="0" w:color="auto"/>
            </w:tcBorders>
            <w:shd w:val="clear" w:color="auto" w:fill="FFCCA6" w:themeFill="accent5" w:themeFillTint="66"/>
            <w:vAlign w:val="center"/>
          </w:tcPr>
          <w:p w14:paraId="45D05AA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2017.</w:t>
            </w:r>
          </w:p>
        </w:tc>
        <w:tc>
          <w:tcPr>
            <w:tcW w:w="466" w:type="pct"/>
            <w:tcBorders>
              <w:bottom w:val="single" w:sz="4" w:space="0" w:color="auto"/>
            </w:tcBorders>
            <w:shd w:val="clear" w:color="auto" w:fill="FFCCA6" w:themeFill="accent5" w:themeFillTint="66"/>
            <w:vAlign w:val="center"/>
          </w:tcPr>
          <w:p w14:paraId="45D05AA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2018.</w:t>
            </w:r>
          </w:p>
        </w:tc>
      </w:tr>
      <w:tr w:rsidR="00496804" w14:paraId="45D05AAF" w14:textId="77777777">
        <w:trPr>
          <w:trHeight w:val="463"/>
          <w:jc w:val="center"/>
        </w:trPr>
        <w:tc>
          <w:tcPr>
            <w:tcW w:w="810" w:type="pct"/>
            <w:shd w:val="clear" w:color="auto" w:fill="FFCCA6" w:themeFill="accent5" w:themeFillTint="66"/>
            <w:vAlign w:val="center"/>
          </w:tcPr>
          <w:p w14:paraId="45D05AA5"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 izdanih građevnih dozvola </w:t>
            </w:r>
          </w:p>
        </w:tc>
        <w:tc>
          <w:tcPr>
            <w:tcW w:w="465" w:type="pct"/>
            <w:shd w:val="clear" w:color="auto" w:fill="auto"/>
            <w:vAlign w:val="center"/>
          </w:tcPr>
          <w:p w14:paraId="45D05AA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10.087 </w:t>
            </w:r>
          </w:p>
        </w:tc>
        <w:tc>
          <w:tcPr>
            <w:tcW w:w="466" w:type="pct"/>
            <w:shd w:val="clear" w:color="auto" w:fill="auto"/>
            <w:vAlign w:val="center"/>
          </w:tcPr>
          <w:p w14:paraId="45D05AA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9.601 </w:t>
            </w:r>
          </w:p>
        </w:tc>
        <w:tc>
          <w:tcPr>
            <w:tcW w:w="466" w:type="pct"/>
            <w:shd w:val="clear" w:color="auto" w:fill="auto"/>
            <w:vAlign w:val="center"/>
          </w:tcPr>
          <w:p w14:paraId="45D05AA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8.330 </w:t>
            </w:r>
          </w:p>
        </w:tc>
        <w:tc>
          <w:tcPr>
            <w:tcW w:w="466" w:type="pct"/>
            <w:shd w:val="clear" w:color="auto" w:fill="auto"/>
            <w:vAlign w:val="center"/>
          </w:tcPr>
          <w:p w14:paraId="45D05AA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6.687 </w:t>
            </w:r>
          </w:p>
        </w:tc>
        <w:tc>
          <w:tcPr>
            <w:tcW w:w="466" w:type="pct"/>
            <w:shd w:val="clear" w:color="auto" w:fill="auto"/>
            <w:vAlign w:val="center"/>
          </w:tcPr>
          <w:p w14:paraId="45D05AA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6.589 </w:t>
            </w:r>
          </w:p>
        </w:tc>
        <w:tc>
          <w:tcPr>
            <w:tcW w:w="466" w:type="pct"/>
            <w:shd w:val="clear" w:color="auto" w:fill="auto"/>
            <w:vAlign w:val="center"/>
          </w:tcPr>
          <w:p w14:paraId="45D05AA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6.328 </w:t>
            </w:r>
          </w:p>
        </w:tc>
        <w:tc>
          <w:tcPr>
            <w:tcW w:w="466" w:type="pct"/>
            <w:shd w:val="clear" w:color="auto" w:fill="auto"/>
            <w:vAlign w:val="center"/>
          </w:tcPr>
          <w:p w14:paraId="45D05AA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8018 </w:t>
            </w:r>
          </w:p>
        </w:tc>
        <w:tc>
          <w:tcPr>
            <w:tcW w:w="466" w:type="pct"/>
            <w:shd w:val="clear" w:color="auto" w:fill="auto"/>
            <w:vAlign w:val="center"/>
          </w:tcPr>
          <w:p w14:paraId="45D05AA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9.418 </w:t>
            </w:r>
          </w:p>
        </w:tc>
        <w:tc>
          <w:tcPr>
            <w:tcW w:w="466" w:type="pct"/>
            <w:vAlign w:val="center"/>
          </w:tcPr>
          <w:p w14:paraId="45D05AAE" w14:textId="77777777" w:rsidR="00496804" w:rsidRDefault="0037359D">
            <w:pPr>
              <w:spacing w:line="240" w:lineRule="auto"/>
              <w:jc w:val="right"/>
              <w:rPr>
                <w:rFonts w:ascii="Times New Roman" w:hAnsi="Times New Roman"/>
                <w:sz w:val="24"/>
              </w:rPr>
            </w:pPr>
            <w:r>
              <w:rPr>
                <w:rFonts w:ascii="Times New Roman" w:hAnsi="Times New Roman"/>
                <w:sz w:val="24"/>
              </w:rPr>
              <w:t>9 406</w:t>
            </w:r>
          </w:p>
        </w:tc>
      </w:tr>
      <w:tr w:rsidR="00496804" w14:paraId="45D05ABA" w14:textId="77777777">
        <w:trPr>
          <w:trHeight w:val="938"/>
          <w:jc w:val="center"/>
        </w:trPr>
        <w:tc>
          <w:tcPr>
            <w:tcW w:w="810" w:type="pct"/>
            <w:shd w:val="clear" w:color="auto" w:fill="FFCCA6" w:themeFill="accent5" w:themeFillTint="66"/>
            <w:vAlign w:val="center"/>
          </w:tcPr>
          <w:p w14:paraId="45D05AB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Predviđena vrijednost građevinskih radova, tis. kn </w:t>
            </w:r>
          </w:p>
        </w:tc>
        <w:tc>
          <w:tcPr>
            <w:tcW w:w="465" w:type="pct"/>
            <w:shd w:val="clear" w:color="auto" w:fill="auto"/>
            <w:vAlign w:val="center"/>
          </w:tcPr>
          <w:p w14:paraId="45D05AB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296,369.03 </w:t>
            </w:r>
          </w:p>
        </w:tc>
        <w:tc>
          <w:tcPr>
            <w:tcW w:w="466" w:type="pct"/>
            <w:shd w:val="clear" w:color="auto" w:fill="auto"/>
            <w:vAlign w:val="center"/>
          </w:tcPr>
          <w:p w14:paraId="45D05AB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24,356.575 </w:t>
            </w:r>
          </w:p>
        </w:tc>
        <w:tc>
          <w:tcPr>
            <w:tcW w:w="466" w:type="pct"/>
            <w:shd w:val="clear" w:color="auto" w:fill="auto"/>
            <w:vAlign w:val="center"/>
          </w:tcPr>
          <w:p w14:paraId="45D05AB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21269.258 </w:t>
            </w:r>
          </w:p>
        </w:tc>
        <w:tc>
          <w:tcPr>
            <w:tcW w:w="466" w:type="pct"/>
            <w:shd w:val="clear" w:color="auto" w:fill="auto"/>
            <w:vAlign w:val="center"/>
          </w:tcPr>
          <w:p w14:paraId="45D05AB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18,671.984 </w:t>
            </w:r>
          </w:p>
        </w:tc>
        <w:tc>
          <w:tcPr>
            <w:tcW w:w="466" w:type="pct"/>
            <w:shd w:val="clear" w:color="auto" w:fill="auto"/>
            <w:vAlign w:val="center"/>
          </w:tcPr>
          <w:p w14:paraId="45D05AB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20,208.464 </w:t>
            </w:r>
          </w:p>
        </w:tc>
        <w:tc>
          <w:tcPr>
            <w:tcW w:w="466" w:type="pct"/>
            <w:shd w:val="clear" w:color="auto" w:fill="auto"/>
            <w:vAlign w:val="center"/>
          </w:tcPr>
          <w:p w14:paraId="45D05AB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20,865.728 </w:t>
            </w:r>
          </w:p>
        </w:tc>
        <w:tc>
          <w:tcPr>
            <w:tcW w:w="466" w:type="pct"/>
            <w:shd w:val="clear" w:color="auto" w:fill="auto"/>
            <w:vAlign w:val="center"/>
          </w:tcPr>
          <w:p w14:paraId="45D05AB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23,312.687 </w:t>
            </w:r>
          </w:p>
        </w:tc>
        <w:tc>
          <w:tcPr>
            <w:tcW w:w="466" w:type="pct"/>
            <w:shd w:val="clear" w:color="auto" w:fill="auto"/>
            <w:vAlign w:val="center"/>
          </w:tcPr>
          <w:p w14:paraId="45D05AB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26,016.434 </w:t>
            </w:r>
          </w:p>
        </w:tc>
        <w:tc>
          <w:tcPr>
            <w:tcW w:w="466" w:type="pct"/>
            <w:vAlign w:val="center"/>
          </w:tcPr>
          <w:p w14:paraId="45D05AB9" w14:textId="77777777" w:rsidR="00496804" w:rsidRDefault="0037359D">
            <w:pPr>
              <w:spacing w:line="240" w:lineRule="auto"/>
              <w:jc w:val="right"/>
              <w:rPr>
                <w:rFonts w:ascii="Times New Roman" w:hAnsi="Times New Roman"/>
                <w:sz w:val="24"/>
              </w:rPr>
            </w:pPr>
            <w:r>
              <w:rPr>
                <w:rFonts w:ascii="Times New Roman" w:hAnsi="Times New Roman"/>
                <w:sz w:val="24"/>
              </w:rPr>
              <w:t>28,428.158</w:t>
            </w:r>
          </w:p>
        </w:tc>
      </w:tr>
      <w:tr w:rsidR="00496804" w14:paraId="45D05AC5" w14:textId="77777777">
        <w:trPr>
          <w:trHeight w:val="949"/>
          <w:jc w:val="center"/>
        </w:trPr>
        <w:tc>
          <w:tcPr>
            <w:tcW w:w="810" w:type="pct"/>
            <w:shd w:val="clear" w:color="auto" w:fill="FFCCA6" w:themeFill="accent5" w:themeFillTint="66"/>
            <w:vAlign w:val="center"/>
          </w:tcPr>
          <w:p w14:paraId="45D05ABB" w14:textId="77777777" w:rsidR="00496804" w:rsidRDefault="0037359D">
            <w:pPr>
              <w:spacing w:line="240" w:lineRule="auto"/>
              <w:jc w:val="left"/>
              <w:rPr>
                <w:rFonts w:ascii="Times New Roman" w:hAnsi="Times New Roman"/>
                <w:sz w:val="24"/>
              </w:rPr>
            </w:pPr>
            <w:r>
              <w:rPr>
                <w:rFonts w:ascii="Times New Roman" w:hAnsi="Times New Roman"/>
                <w:sz w:val="24"/>
              </w:rPr>
              <w:t xml:space="preserve">Vrijednost izvršenih građevinskih radova, tis. kn </w:t>
            </w:r>
          </w:p>
        </w:tc>
        <w:tc>
          <w:tcPr>
            <w:tcW w:w="465" w:type="pct"/>
            <w:shd w:val="clear" w:color="auto" w:fill="auto"/>
            <w:vAlign w:val="center"/>
          </w:tcPr>
          <w:p w14:paraId="45D05AB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17,866.247 </w:t>
            </w:r>
          </w:p>
        </w:tc>
        <w:tc>
          <w:tcPr>
            <w:tcW w:w="466" w:type="pct"/>
            <w:shd w:val="clear" w:color="auto" w:fill="auto"/>
            <w:vAlign w:val="center"/>
          </w:tcPr>
          <w:p w14:paraId="45D05AB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16,783.675 </w:t>
            </w:r>
          </w:p>
        </w:tc>
        <w:tc>
          <w:tcPr>
            <w:tcW w:w="466" w:type="pct"/>
            <w:shd w:val="clear" w:color="auto" w:fill="auto"/>
            <w:vAlign w:val="center"/>
          </w:tcPr>
          <w:p w14:paraId="45D05AB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15,976.215 </w:t>
            </w:r>
          </w:p>
        </w:tc>
        <w:tc>
          <w:tcPr>
            <w:tcW w:w="466" w:type="pct"/>
            <w:shd w:val="clear" w:color="auto" w:fill="auto"/>
            <w:vAlign w:val="center"/>
          </w:tcPr>
          <w:p w14:paraId="45D05AB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15,091.225 </w:t>
            </w:r>
          </w:p>
        </w:tc>
        <w:tc>
          <w:tcPr>
            <w:tcW w:w="466" w:type="pct"/>
            <w:shd w:val="clear" w:color="auto" w:fill="auto"/>
            <w:vAlign w:val="center"/>
          </w:tcPr>
          <w:p w14:paraId="45D05AC0"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14,090.716 </w:t>
            </w:r>
          </w:p>
        </w:tc>
        <w:tc>
          <w:tcPr>
            <w:tcW w:w="466" w:type="pct"/>
            <w:shd w:val="clear" w:color="auto" w:fill="auto"/>
            <w:vAlign w:val="center"/>
          </w:tcPr>
          <w:p w14:paraId="45D05AC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15,147.581 </w:t>
            </w:r>
          </w:p>
        </w:tc>
        <w:tc>
          <w:tcPr>
            <w:tcW w:w="466" w:type="pct"/>
            <w:shd w:val="clear" w:color="auto" w:fill="auto"/>
            <w:vAlign w:val="center"/>
          </w:tcPr>
          <w:p w14:paraId="45D05AC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15,842.907 </w:t>
            </w:r>
          </w:p>
        </w:tc>
        <w:tc>
          <w:tcPr>
            <w:tcW w:w="466" w:type="pct"/>
            <w:shd w:val="clear" w:color="auto" w:fill="auto"/>
            <w:vAlign w:val="center"/>
          </w:tcPr>
          <w:p w14:paraId="45D05AC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16,238.980  </w:t>
            </w:r>
          </w:p>
        </w:tc>
        <w:tc>
          <w:tcPr>
            <w:tcW w:w="466" w:type="pct"/>
            <w:vAlign w:val="center"/>
          </w:tcPr>
          <w:p w14:paraId="45D05AC4" w14:textId="77777777" w:rsidR="00496804" w:rsidRDefault="0037359D">
            <w:pPr>
              <w:spacing w:line="240" w:lineRule="auto"/>
              <w:jc w:val="right"/>
              <w:rPr>
                <w:rFonts w:ascii="Times New Roman" w:hAnsi="Times New Roman"/>
                <w:sz w:val="24"/>
              </w:rPr>
            </w:pPr>
            <w:r>
              <w:rPr>
                <w:rFonts w:ascii="Times New Roman" w:hAnsi="Times New Roman"/>
                <w:sz w:val="24"/>
              </w:rPr>
              <w:t>17,699.715</w:t>
            </w:r>
          </w:p>
        </w:tc>
      </w:tr>
      <w:tr w:rsidR="00496804" w14:paraId="45D05AD0" w14:textId="77777777">
        <w:trPr>
          <w:trHeight w:val="938"/>
          <w:jc w:val="center"/>
        </w:trPr>
        <w:tc>
          <w:tcPr>
            <w:tcW w:w="810" w:type="pct"/>
            <w:shd w:val="clear" w:color="auto" w:fill="FFCCA6" w:themeFill="accent5" w:themeFillTint="66"/>
            <w:vAlign w:val="center"/>
          </w:tcPr>
          <w:p w14:paraId="45D05AC6" w14:textId="77777777" w:rsidR="00496804" w:rsidRDefault="0037359D">
            <w:pPr>
              <w:spacing w:line="240" w:lineRule="auto"/>
              <w:jc w:val="left"/>
              <w:rPr>
                <w:rFonts w:ascii="Times New Roman" w:hAnsi="Times New Roman"/>
                <w:sz w:val="24"/>
              </w:rPr>
            </w:pPr>
            <w:r>
              <w:rPr>
                <w:rFonts w:ascii="Times New Roman" w:hAnsi="Times New Roman"/>
                <w:sz w:val="24"/>
              </w:rPr>
              <w:t>Površina zgrade za koju je izdana građev. dozvola (m</w:t>
            </w:r>
            <w:r>
              <w:rPr>
                <w:rFonts w:ascii="Times New Roman" w:hAnsi="Times New Roman"/>
                <w:sz w:val="24"/>
                <w:vertAlign w:val="superscript"/>
              </w:rPr>
              <w:t>2</w:t>
            </w:r>
            <w:r>
              <w:rPr>
                <w:rFonts w:ascii="Times New Roman" w:hAnsi="Times New Roman"/>
                <w:sz w:val="24"/>
              </w:rPr>
              <w:t xml:space="preserve">) </w:t>
            </w:r>
          </w:p>
        </w:tc>
        <w:tc>
          <w:tcPr>
            <w:tcW w:w="465" w:type="pct"/>
            <w:shd w:val="clear" w:color="auto" w:fill="auto"/>
            <w:vAlign w:val="center"/>
          </w:tcPr>
          <w:p w14:paraId="45D05AC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3,495.567 </w:t>
            </w:r>
          </w:p>
        </w:tc>
        <w:tc>
          <w:tcPr>
            <w:tcW w:w="466" w:type="pct"/>
            <w:shd w:val="clear" w:color="auto" w:fill="auto"/>
            <w:vAlign w:val="center"/>
          </w:tcPr>
          <w:p w14:paraId="45D05AC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2,798.345 </w:t>
            </w:r>
          </w:p>
        </w:tc>
        <w:tc>
          <w:tcPr>
            <w:tcW w:w="466" w:type="pct"/>
            <w:shd w:val="clear" w:color="auto" w:fill="auto"/>
            <w:vAlign w:val="center"/>
          </w:tcPr>
          <w:p w14:paraId="45D05AC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2,151.516 </w:t>
            </w:r>
          </w:p>
        </w:tc>
        <w:tc>
          <w:tcPr>
            <w:tcW w:w="466" w:type="pct"/>
            <w:shd w:val="clear" w:color="auto" w:fill="auto"/>
            <w:vAlign w:val="center"/>
          </w:tcPr>
          <w:p w14:paraId="45D05AC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1,730.362 </w:t>
            </w:r>
          </w:p>
        </w:tc>
        <w:tc>
          <w:tcPr>
            <w:tcW w:w="466" w:type="pct"/>
            <w:shd w:val="clear" w:color="auto" w:fill="auto"/>
            <w:vAlign w:val="center"/>
          </w:tcPr>
          <w:p w14:paraId="45D05AC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1,933.672 </w:t>
            </w:r>
          </w:p>
        </w:tc>
        <w:tc>
          <w:tcPr>
            <w:tcW w:w="466" w:type="pct"/>
            <w:shd w:val="clear" w:color="auto" w:fill="auto"/>
            <w:vAlign w:val="center"/>
          </w:tcPr>
          <w:p w14:paraId="45D05AC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2,487.012 </w:t>
            </w:r>
          </w:p>
        </w:tc>
        <w:tc>
          <w:tcPr>
            <w:tcW w:w="466" w:type="pct"/>
            <w:shd w:val="clear" w:color="auto" w:fill="auto"/>
            <w:vAlign w:val="center"/>
          </w:tcPr>
          <w:p w14:paraId="45D05AC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2,635.237 </w:t>
            </w:r>
          </w:p>
        </w:tc>
        <w:tc>
          <w:tcPr>
            <w:tcW w:w="466" w:type="pct"/>
            <w:shd w:val="clear" w:color="auto" w:fill="auto"/>
            <w:vAlign w:val="center"/>
          </w:tcPr>
          <w:p w14:paraId="45D05ACE" w14:textId="77777777" w:rsidR="00496804" w:rsidRDefault="0037359D">
            <w:pPr>
              <w:spacing w:line="240" w:lineRule="auto"/>
              <w:jc w:val="right"/>
              <w:rPr>
                <w:rFonts w:ascii="Times New Roman" w:hAnsi="Times New Roman"/>
                <w:sz w:val="24"/>
              </w:rPr>
            </w:pPr>
            <w:r>
              <w:rPr>
                <w:rFonts w:ascii="Times New Roman" w:hAnsi="Times New Roman"/>
                <w:sz w:val="24"/>
              </w:rPr>
              <w:t>2,948.552</w:t>
            </w:r>
          </w:p>
        </w:tc>
        <w:tc>
          <w:tcPr>
            <w:tcW w:w="466" w:type="pct"/>
            <w:vAlign w:val="center"/>
          </w:tcPr>
          <w:p w14:paraId="45D05ACF" w14:textId="77777777" w:rsidR="00496804" w:rsidRDefault="0037359D">
            <w:pPr>
              <w:spacing w:line="240" w:lineRule="auto"/>
              <w:jc w:val="right"/>
              <w:rPr>
                <w:rFonts w:ascii="Times New Roman" w:hAnsi="Times New Roman"/>
                <w:sz w:val="24"/>
              </w:rPr>
            </w:pPr>
            <w:r>
              <w:rPr>
                <w:rFonts w:ascii="Times New Roman" w:hAnsi="Times New Roman"/>
                <w:sz w:val="24"/>
              </w:rPr>
              <w:t>2,660.114</w:t>
            </w:r>
          </w:p>
        </w:tc>
      </w:tr>
      <w:tr w:rsidR="00496804" w14:paraId="45D05ADB" w14:textId="77777777">
        <w:trPr>
          <w:trHeight w:val="463"/>
          <w:jc w:val="center"/>
        </w:trPr>
        <w:tc>
          <w:tcPr>
            <w:tcW w:w="810" w:type="pct"/>
            <w:shd w:val="clear" w:color="auto" w:fill="FFCCA6" w:themeFill="accent5" w:themeFillTint="66"/>
            <w:vAlign w:val="center"/>
          </w:tcPr>
          <w:p w14:paraId="45D05AD1" w14:textId="77777777" w:rsidR="00496804" w:rsidRDefault="0037359D">
            <w:pPr>
              <w:spacing w:line="240" w:lineRule="auto"/>
              <w:jc w:val="left"/>
              <w:rPr>
                <w:rFonts w:ascii="Times New Roman" w:hAnsi="Times New Roman"/>
                <w:b/>
                <w:bCs/>
                <w:sz w:val="24"/>
              </w:rPr>
            </w:pPr>
            <w:r>
              <w:rPr>
                <w:rFonts w:ascii="Times New Roman" w:hAnsi="Times New Roman"/>
                <w:b/>
                <w:bCs/>
                <w:sz w:val="24"/>
              </w:rPr>
              <w:t>Završene zgrade, površina (m</w:t>
            </w:r>
            <w:r>
              <w:rPr>
                <w:rFonts w:ascii="Times New Roman" w:hAnsi="Times New Roman"/>
                <w:b/>
                <w:bCs/>
                <w:sz w:val="24"/>
                <w:vertAlign w:val="superscript"/>
              </w:rPr>
              <w:t>2</w:t>
            </w:r>
            <w:r>
              <w:rPr>
                <w:rFonts w:ascii="Times New Roman" w:hAnsi="Times New Roman"/>
                <w:b/>
                <w:bCs/>
                <w:sz w:val="24"/>
              </w:rPr>
              <w:t>)</w:t>
            </w:r>
          </w:p>
        </w:tc>
        <w:tc>
          <w:tcPr>
            <w:tcW w:w="465" w:type="pct"/>
            <w:shd w:val="clear" w:color="auto" w:fill="auto"/>
            <w:vAlign w:val="center"/>
          </w:tcPr>
          <w:p w14:paraId="45D05AD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3,352.329 </w:t>
            </w:r>
          </w:p>
        </w:tc>
        <w:tc>
          <w:tcPr>
            <w:tcW w:w="466" w:type="pct"/>
            <w:shd w:val="clear" w:color="auto" w:fill="auto"/>
            <w:vAlign w:val="center"/>
          </w:tcPr>
          <w:p w14:paraId="45D05AD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2,660.604 </w:t>
            </w:r>
          </w:p>
        </w:tc>
        <w:tc>
          <w:tcPr>
            <w:tcW w:w="466" w:type="pct"/>
            <w:shd w:val="clear" w:color="auto" w:fill="auto"/>
            <w:vAlign w:val="center"/>
          </w:tcPr>
          <w:p w14:paraId="45D05AD4"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26,90.013 </w:t>
            </w:r>
          </w:p>
        </w:tc>
        <w:tc>
          <w:tcPr>
            <w:tcW w:w="466" w:type="pct"/>
            <w:shd w:val="clear" w:color="auto" w:fill="auto"/>
            <w:vAlign w:val="center"/>
          </w:tcPr>
          <w:p w14:paraId="45D05AD5"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1,943.383 </w:t>
            </w:r>
          </w:p>
        </w:tc>
        <w:tc>
          <w:tcPr>
            <w:tcW w:w="466" w:type="pct"/>
            <w:shd w:val="clear" w:color="auto" w:fill="auto"/>
            <w:vAlign w:val="center"/>
          </w:tcPr>
          <w:p w14:paraId="45D05AD6"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1,658.467 </w:t>
            </w:r>
          </w:p>
        </w:tc>
        <w:tc>
          <w:tcPr>
            <w:tcW w:w="466" w:type="pct"/>
            <w:shd w:val="clear" w:color="auto" w:fill="auto"/>
            <w:vAlign w:val="center"/>
          </w:tcPr>
          <w:p w14:paraId="45D05AD7"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1,898.127 </w:t>
            </w:r>
          </w:p>
        </w:tc>
        <w:tc>
          <w:tcPr>
            <w:tcW w:w="466" w:type="pct"/>
            <w:shd w:val="clear" w:color="auto" w:fill="auto"/>
            <w:vAlign w:val="center"/>
          </w:tcPr>
          <w:p w14:paraId="45D05AD8"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1,832.144 </w:t>
            </w:r>
          </w:p>
        </w:tc>
        <w:tc>
          <w:tcPr>
            <w:tcW w:w="466" w:type="pct"/>
            <w:shd w:val="clear" w:color="auto" w:fill="auto"/>
            <w:vAlign w:val="center"/>
          </w:tcPr>
          <w:p w14:paraId="45D05AD9"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2,029.111</w:t>
            </w:r>
          </w:p>
        </w:tc>
        <w:tc>
          <w:tcPr>
            <w:tcW w:w="466" w:type="pct"/>
            <w:vAlign w:val="center"/>
          </w:tcPr>
          <w:p w14:paraId="45D05ADA"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2 026.821</w:t>
            </w:r>
          </w:p>
        </w:tc>
      </w:tr>
      <w:tr w:rsidR="00496804" w14:paraId="45D05AE6" w14:textId="77777777">
        <w:trPr>
          <w:trHeight w:val="474"/>
          <w:jc w:val="center"/>
        </w:trPr>
        <w:tc>
          <w:tcPr>
            <w:tcW w:w="810" w:type="pct"/>
            <w:shd w:val="clear" w:color="auto" w:fill="FFCCA6" w:themeFill="accent5" w:themeFillTint="66"/>
            <w:vAlign w:val="center"/>
          </w:tcPr>
          <w:p w14:paraId="45D05ADC" w14:textId="77777777" w:rsidR="00496804" w:rsidRDefault="0037359D">
            <w:pPr>
              <w:spacing w:line="240" w:lineRule="auto"/>
              <w:jc w:val="left"/>
              <w:rPr>
                <w:rFonts w:ascii="Times New Roman" w:hAnsi="Times New Roman"/>
                <w:b/>
                <w:bCs/>
                <w:sz w:val="24"/>
              </w:rPr>
            </w:pPr>
            <w:r>
              <w:rPr>
                <w:rFonts w:ascii="Times New Roman" w:hAnsi="Times New Roman"/>
                <w:b/>
                <w:bCs/>
                <w:sz w:val="24"/>
              </w:rPr>
              <w:t>Srušena površina (m</w:t>
            </w:r>
            <w:r>
              <w:rPr>
                <w:rFonts w:ascii="Times New Roman" w:hAnsi="Times New Roman"/>
                <w:b/>
                <w:bCs/>
                <w:sz w:val="24"/>
                <w:vertAlign w:val="superscript"/>
              </w:rPr>
              <w:t>2</w:t>
            </w:r>
            <w:r>
              <w:rPr>
                <w:rFonts w:ascii="Times New Roman" w:hAnsi="Times New Roman"/>
                <w:b/>
                <w:bCs/>
                <w:sz w:val="24"/>
              </w:rPr>
              <w:t>)</w:t>
            </w:r>
          </w:p>
        </w:tc>
        <w:tc>
          <w:tcPr>
            <w:tcW w:w="465" w:type="pct"/>
            <w:shd w:val="clear" w:color="auto" w:fill="auto"/>
            <w:vAlign w:val="center"/>
          </w:tcPr>
          <w:p w14:paraId="45D05ADD"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36.568 </w:t>
            </w:r>
          </w:p>
        </w:tc>
        <w:tc>
          <w:tcPr>
            <w:tcW w:w="466" w:type="pct"/>
            <w:shd w:val="clear" w:color="auto" w:fill="auto"/>
            <w:vAlign w:val="center"/>
          </w:tcPr>
          <w:p w14:paraId="45D05ADE"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43.346 </w:t>
            </w:r>
          </w:p>
        </w:tc>
        <w:tc>
          <w:tcPr>
            <w:tcW w:w="466" w:type="pct"/>
            <w:shd w:val="clear" w:color="auto" w:fill="auto"/>
            <w:vAlign w:val="center"/>
          </w:tcPr>
          <w:p w14:paraId="45D05ADF"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37.322 </w:t>
            </w:r>
          </w:p>
        </w:tc>
        <w:tc>
          <w:tcPr>
            <w:tcW w:w="466" w:type="pct"/>
            <w:shd w:val="clear" w:color="auto" w:fill="auto"/>
            <w:vAlign w:val="center"/>
          </w:tcPr>
          <w:p w14:paraId="45D05AE0"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17.860 </w:t>
            </w:r>
          </w:p>
        </w:tc>
        <w:tc>
          <w:tcPr>
            <w:tcW w:w="466" w:type="pct"/>
            <w:shd w:val="clear" w:color="auto" w:fill="auto"/>
            <w:vAlign w:val="center"/>
          </w:tcPr>
          <w:p w14:paraId="45D05AE1"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37.404 </w:t>
            </w:r>
          </w:p>
        </w:tc>
        <w:tc>
          <w:tcPr>
            <w:tcW w:w="466" w:type="pct"/>
            <w:shd w:val="clear" w:color="auto" w:fill="auto"/>
            <w:vAlign w:val="center"/>
          </w:tcPr>
          <w:p w14:paraId="45D05AE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26.757 </w:t>
            </w:r>
          </w:p>
        </w:tc>
        <w:tc>
          <w:tcPr>
            <w:tcW w:w="466" w:type="pct"/>
            <w:shd w:val="clear" w:color="auto" w:fill="auto"/>
            <w:vAlign w:val="center"/>
          </w:tcPr>
          <w:p w14:paraId="45D05AE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21.502 </w:t>
            </w:r>
          </w:p>
        </w:tc>
        <w:tc>
          <w:tcPr>
            <w:tcW w:w="466" w:type="pct"/>
            <w:shd w:val="clear" w:color="auto" w:fill="auto"/>
            <w:vAlign w:val="center"/>
          </w:tcPr>
          <w:p w14:paraId="45D05AE4"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36.293 </w:t>
            </w:r>
          </w:p>
        </w:tc>
        <w:tc>
          <w:tcPr>
            <w:tcW w:w="466" w:type="pct"/>
            <w:vAlign w:val="center"/>
          </w:tcPr>
          <w:p w14:paraId="45D05AE5" w14:textId="77777777" w:rsidR="00496804" w:rsidRDefault="0037359D">
            <w:pPr>
              <w:spacing w:line="240" w:lineRule="auto"/>
              <w:jc w:val="right"/>
              <w:rPr>
                <w:rFonts w:ascii="Times New Roman" w:hAnsi="Times New Roman"/>
                <w:b/>
                <w:bCs/>
                <w:sz w:val="24"/>
              </w:rPr>
            </w:pPr>
            <w:r>
              <w:rPr>
                <w:rFonts w:ascii="Times New Roman" w:hAnsi="Times New Roman"/>
                <w:b/>
                <w:bCs/>
                <w:sz w:val="24"/>
              </w:rPr>
              <w:t>42.976</w:t>
            </w:r>
          </w:p>
        </w:tc>
      </w:tr>
      <w:tr w:rsidR="00496804" w14:paraId="45D05AF1" w14:textId="77777777">
        <w:trPr>
          <w:trHeight w:val="701"/>
          <w:jc w:val="center"/>
        </w:trPr>
        <w:tc>
          <w:tcPr>
            <w:tcW w:w="810" w:type="pct"/>
            <w:shd w:val="clear" w:color="auto" w:fill="FFCCA6" w:themeFill="accent5" w:themeFillTint="66"/>
            <w:vAlign w:val="center"/>
          </w:tcPr>
          <w:p w14:paraId="45D05AE7"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registriranih poduzeća u sektoru F </w:t>
            </w:r>
          </w:p>
        </w:tc>
        <w:tc>
          <w:tcPr>
            <w:tcW w:w="465" w:type="pct"/>
            <w:shd w:val="clear" w:color="auto" w:fill="auto"/>
            <w:vAlign w:val="center"/>
          </w:tcPr>
          <w:p w14:paraId="45D05AE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24.011 </w:t>
            </w:r>
          </w:p>
        </w:tc>
        <w:tc>
          <w:tcPr>
            <w:tcW w:w="466" w:type="pct"/>
            <w:shd w:val="clear" w:color="auto" w:fill="auto"/>
            <w:vAlign w:val="center"/>
          </w:tcPr>
          <w:p w14:paraId="45D05AE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24.675 </w:t>
            </w:r>
          </w:p>
        </w:tc>
        <w:tc>
          <w:tcPr>
            <w:tcW w:w="466" w:type="pct"/>
            <w:shd w:val="clear" w:color="auto" w:fill="auto"/>
            <w:vAlign w:val="center"/>
          </w:tcPr>
          <w:p w14:paraId="45D05AE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25.365 </w:t>
            </w:r>
          </w:p>
        </w:tc>
        <w:tc>
          <w:tcPr>
            <w:tcW w:w="466" w:type="pct"/>
            <w:shd w:val="clear" w:color="auto" w:fill="auto"/>
            <w:vAlign w:val="center"/>
          </w:tcPr>
          <w:p w14:paraId="45D05AE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23.461 </w:t>
            </w:r>
          </w:p>
        </w:tc>
        <w:tc>
          <w:tcPr>
            <w:tcW w:w="466" w:type="pct"/>
            <w:shd w:val="clear" w:color="auto" w:fill="auto"/>
            <w:vAlign w:val="center"/>
          </w:tcPr>
          <w:p w14:paraId="45D05AE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24.589 </w:t>
            </w:r>
          </w:p>
        </w:tc>
        <w:tc>
          <w:tcPr>
            <w:tcW w:w="466" w:type="pct"/>
            <w:shd w:val="clear" w:color="auto" w:fill="auto"/>
            <w:vAlign w:val="center"/>
          </w:tcPr>
          <w:p w14:paraId="45D05AE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25.873 </w:t>
            </w:r>
          </w:p>
        </w:tc>
        <w:tc>
          <w:tcPr>
            <w:tcW w:w="466" w:type="pct"/>
            <w:shd w:val="clear" w:color="auto" w:fill="auto"/>
            <w:vAlign w:val="center"/>
          </w:tcPr>
          <w:p w14:paraId="45D05AE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23,571 </w:t>
            </w:r>
          </w:p>
        </w:tc>
        <w:tc>
          <w:tcPr>
            <w:tcW w:w="466" w:type="pct"/>
            <w:shd w:val="clear" w:color="auto" w:fill="auto"/>
            <w:vAlign w:val="center"/>
          </w:tcPr>
          <w:p w14:paraId="45D05AE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22.703 </w:t>
            </w:r>
          </w:p>
        </w:tc>
        <w:tc>
          <w:tcPr>
            <w:tcW w:w="466" w:type="pct"/>
            <w:vAlign w:val="center"/>
          </w:tcPr>
          <w:p w14:paraId="45D05AF0" w14:textId="77777777" w:rsidR="00496804" w:rsidRDefault="0037359D">
            <w:pPr>
              <w:spacing w:line="240" w:lineRule="auto"/>
              <w:jc w:val="right"/>
              <w:rPr>
                <w:rFonts w:ascii="Times New Roman" w:hAnsi="Times New Roman"/>
                <w:sz w:val="24"/>
              </w:rPr>
            </w:pPr>
            <w:r>
              <w:rPr>
                <w:rFonts w:ascii="Times New Roman" w:hAnsi="Times New Roman"/>
                <w:sz w:val="24"/>
              </w:rPr>
              <w:t>23.692</w:t>
            </w:r>
          </w:p>
        </w:tc>
      </w:tr>
      <w:tr w:rsidR="00496804" w14:paraId="45D05AFC" w14:textId="77777777">
        <w:trPr>
          <w:trHeight w:val="711"/>
          <w:jc w:val="center"/>
        </w:trPr>
        <w:tc>
          <w:tcPr>
            <w:tcW w:w="810" w:type="pct"/>
            <w:shd w:val="clear" w:color="auto" w:fill="FFCCA6" w:themeFill="accent5" w:themeFillTint="66"/>
            <w:vAlign w:val="center"/>
          </w:tcPr>
          <w:p w14:paraId="45D05AF2"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aktivnih poduzeća u sektoru F </w:t>
            </w:r>
          </w:p>
        </w:tc>
        <w:tc>
          <w:tcPr>
            <w:tcW w:w="465" w:type="pct"/>
            <w:shd w:val="clear" w:color="auto" w:fill="auto"/>
            <w:vAlign w:val="center"/>
          </w:tcPr>
          <w:p w14:paraId="45D05AF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15.781 </w:t>
            </w:r>
          </w:p>
        </w:tc>
        <w:tc>
          <w:tcPr>
            <w:tcW w:w="466" w:type="pct"/>
            <w:shd w:val="clear" w:color="auto" w:fill="auto"/>
            <w:vAlign w:val="center"/>
          </w:tcPr>
          <w:p w14:paraId="45D05AF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14.784 </w:t>
            </w:r>
          </w:p>
        </w:tc>
        <w:tc>
          <w:tcPr>
            <w:tcW w:w="466" w:type="pct"/>
            <w:shd w:val="clear" w:color="auto" w:fill="auto"/>
            <w:vAlign w:val="center"/>
          </w:tcPr>
          <w:p w14:paraId="45D05AF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15.497 </w:t>
            </w:r>
          </w:p>
        </w:tc>
        <w:tc>
          <w:tcPr>
            <w:tcW w:w="466" w:type="pct"/>
            <w:shd w:val="clear" w:color="auto" w:fill="auto"/>
            <w:vAlign w:val="center"/>
          </w:tcPr>
          <w:p w14:paraId="45D05AF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16.815 </w:t>
            </w:r>
          </w:p>
        </w:tc>
        <w:tc>
          <w:tcPr>
            <w:tcW w:w="466" w:type="pct"/>
            <w:shd w:val="clear" w:color="auto" w:fill="auto"/>
            <w:vAlign w:val="center"/>
          </w:tcPr>
          <w:p w14:paraId="45D05AF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17.947 </w:t>
            </w:r>
          </w:p>
        </w:tc>
        <w:tc>
          <w:tcPr>
            <w:tcW w:w="466" w:type="pct"/>
            <w:shd w:val="clear" w:color="auto" w:fill="auto"/>
            <w:vAlign w:val="center"/>
          </w:tcPr>
          <w:p w14:paraId="45D05AF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19.240 </w:t>
            </w:r>
          </w:p>
        </w:tc>
        <w:tc>
          <w:tcPr>
            <w:tcW w:w="466" w:type="pct"/>
            <w:shd w:val="clear" w:color="auto" w:fill="auto"/>
            <w:vAlign w:val="center"/>
          </w:tcPr>
          <w:p w14:paraId="45D05AF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1.990 </w:t>
            </w:r>
          </w:p>
        </w:tc>
        <w:tc>
          <w:tcPr>
            <w:tcW w:w="466" w:type="pct"/>
            <w:shd w:val="clear" w:color="auto" w:fill="auto"/>
            <w:vAlign w:val="center"/>
          </w:tcPr>
          <w:p w14:paraId="45D05AF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13.555 </w:t>
            </w:r>
          </w:p>
        </w:tc>
        <w:tc>
          <w:tcPr>
            <w:tcW w:w="466" w:type="pct"/>
            <w:vAlign w:val="center"/>
          </w:tcPr>
          <w:p w14:paraId="45D05AFB" w14:textId="77777777" w:rsidR="00496804" w:rsidRDefault="0037359D">
            <w:pPr>
              <w:spacing w:line="240" w:lineRule="auto"/>
              <w:jc w:val="right"/>
              <w:rPr>
                <w:rFonts w:ascii="Times New Roman" w:hAnsi="Times New Roman"/>
                <w:sz w:val="24"/>
              </w:rPr>
            </w:pPr>
            <w:r>
              <w:rPr>
                <w:rFonts w:ascii="Times New Roman" w:hAnsi="Times New Roman"/>
                <w:sz w:val="24"/>
              </w:rPr>
              <w:t>14.607</w:t>
            </w:r>
          </w:p>
        </w:tc>
      </w:tr>
      <w:tr w:rsidR="00496804" w14:paraId="45D05B07" w14:textId="77777777">
        <w:trPr>
          <w:trHeight w:val="463"/>
          <w:jc w:val="center"/>
        </w:trPr>
        <w:tc>
          <w:tcPr>
            <w:tcW w:w="810" w:type="pct"/>
            <w:shd w:val="clear" w:color="auto" w:fill="FFCCA6" w:themeFill="accent5" w:themeFillTint="66"/>
            <w:vAlign w:val="center"/>
          </w:tcPr>
          <w:p w14:paraId="45D05AFD"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zaposlenih u sektoru F </w:t>
            </w:r>
          </w:p>
        </w:tc>
        <w:tc>
          <w:tcPr>
            <w:tcW w:w="465" w:type="pct"/>
            <w:shd w:val="clear" w:color="auto" w:fill="auto"/>
            <w:vAlign w:val="center"/>
          </w:tcPr>
          <w:p w14:paraId="45D05AF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91.052 </w:t>
            </w:r>
          </w:p>
        </w:tc>
        <w:tc>
          <w:tcPr>
            <w:tcW w:w="466" w:type="pct"/>
            <w:shd w:val="clear" w:color="auto" w:fill="auto"/>
            <w:vAlign w:val="center"/>
          </w:tcPr>
          <w:p w14:paraId="45D05AF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83.607 </w:t>
            </w:r>
          </w:p>
        </w:tc>
        <w:tc>
          <w:tcPr>
            <w:tcW w:w="466" w:type="pct"/>
            <w:shd w:val="clear" w:color="auto" w:fill="auto"/>
            <w:vAlign w:val="center"/>
          </w:tcPr>
          <w:p w14:paraId="45D05B00"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78.579 </w:t>
            </w:r>
          </w:p>
        </w:tc>
        <w:tc>
          <w:tcPr>
            <w:tcW w:w="466" w:type="pct"/>
            <w:shd w:val="clear" w:color="auto" w:fill="auto"/>
            <w:vAlign w:val="center"/>
          </w:tcPr>
          <w:p w14:paraId="45D05B0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73.832 </w:t>
            </w:r>
          </w:p>
        </w:tc>
        <w:tc>
          <w:tcPr>
            <w:tcW w:w="466" w:type="pct"/>
            <w:shd w:val="clear" w:color="auto" w:fill="auto"/>
            <w:vAlign w:val="center"/>
          </w:tcPr>
          <w:p w14:paraId="45D05B0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72.028 </w:t>
            </w:r>
          </w:p>
        </w:tc>
        <w:tc>
          <w:tcPr>
            <w:tcW w:w="466" w:type="pct"/>
            <w:shd w:val="clear" w:color="auto" w:fill="auto"/>
            <w:vAlign w:val="center"/>
          </w:tcPr>
          <w:p w14:paraId="45D05B0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68.676 </w:t>
            </w:r>
          </w:p>
        </w:tc>
        <w:tc>
          <w:tcPr>
            <w:tcW w:w="466" w:type="pct"/>
            <w:shd w:val="clear" w:color="auto" w:fill="auto"/>
            <w:vAlign w:val="center"/>
          </w:tcPr>
          <w:p w14:paraId="45D05B0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68.653 </w:t>
            </w:r>
          </w:p>
        </w:tc>
        <w:tc>
          <w:tcPr>
            <w:tcW w:w="466" w:type="pct"/>
            <w:shd w:val="clear" w:color="auto" w:fill="auto"/>
            <w:vAlign w:val="center"/>
          </w:tcPr>
          <w:p w14:paraId="45D05B0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67.307 </w:t>
            </w:r>
          </w:p>
        </w:tc>
        <w:tc>
          <w:tcPr>
            <w:tcW w:w="466" w:type="pct"/>
            <w:vAlign w:val="center"/>
          </w:tcPr>
          <w:p w14:paraId="45D05B06" w14:textId="77777777" w:rsidR="00496804" w:rsidRDefault="0037359D">
            <w:pPr>
              <w:spacing w:line="240" w:lineRule="auto"/>
              <w:jc w:val="right"/>
              <w:rPr>
                <w:rFonts w:ascii="Times New Roman" w:hAnsi="Times New Roman"/>
                <w:sz w:val="24"/>
              </w:rPr>
            </w:pPr>
            <w:r>
              <w:rPr>
                <w:rFonts w:ascii="Times New Roman" w:hAnsi="Times New Roman"/>
                <w:sz w:val="24"/>
              </w:rPr>
              <w:t>76.632</w:t>
            </w:r>
          </w:p>
        </w:tc>
      </w:tr>
    </w:tbl>
    <w:p w14:paraId="45D05B08" w14:textId="77777777" w:rsidR="00496804" w:rsidRDefault="00496804">
      <w:pPr>
        <w:spacing w:line="240" w:lineRule="auto"/>
        <w:rPr>
          <w:rFonts w:ascii="Times New Roman" w:hAnsi="Times New Roman"/>
          <w:sz w:val="24"/>
        </w:rPr>
      </w:pPr>
    </w:p>
    <w:p w14:paraId="45D05B09" w14:textId="77777777" w:rsidR="00496804" w:rsidRDefault="00496804">
      <w:pPr>
        <w:spacing w:line="240" w:lineRule="auto"/>
        <w:rPr>
          <w:rFonts w:ascii="Times New Roman" w:hAnsi="Times New Roman"/>
          <w:sz w:val="24"/>
        </w:rPr>
        <w:sectPr w:rsidR="00496804">
          <w:pgSz w:w="16840" w:h="11900" w:orient="landscape"/>
          <w:pgMar w:top="1134" w:right="1701" w:bottom="1134" w:left="1134" w:header="709" w:footer="289" w:gutter="0"/>
          <w:cols w:space="720"/>
          <w:docGrid w:linePitch="299"/>
        </w:sectPr>
      </w:pPr>
    </w:p>
    <w:p w14:paraId="45D05B0B" w14:textId="77777777" w:rsidR="00496804" w:rsidRDefault="0037359D">
      <w:pPr>
        <w:spacing w:line="240" w:lineRule="auto"/>
        <w:rPr>
          <w:rFonts w:ascii="Times New Roman" w:hAnsi="Times New Roman"/>
          <w:sz w:val="24"/>
        </w:rPr>
      </w:pPr>
      <w:r>
        <w:rPr>
          <w:rFonts w:ascii="Times New Roman" w:hAnsi="Times New Roman"/>
          <w:noProof/>
          <w:sz w:val="24"/>
          <w:lang w:eastAsia="hr-HR"/>
        </w:rPr>
        <w:lastRenderedPageBreak/>
        <w:drawing>
          <wp:inline distT="0" distB="0" distL="0" distR="0" wp14:anchorId="45D061FD" wp14:editId="45D061FE">
            <wp:extent cx="5711825" cy="2671445"/>
            <wp:effectExtent l="0" t="0" r="3175" b="1460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D05B0C" w14:textId="77777777" w:rsidR="00496804" w:rsidRDefault="00496804">
      <w:pPr>
        <w:spacing w:line="240" w:lineRule="auto"/>
        <w:rPr>
          <w:rFonts w:ascii="Times New Roman" w:hAnsi="Times New Roman"/>
          <w:sz w:val="24"/>
        </w:rPr>
      </w:pPr>
    </w:p>
    <w:p w14:paraId="45D05B0D"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Slika 3 Završene zgrade, površina (m</w:t>
      </w:r>
      <w:r>
        <w:rPr>
          <w:rFonts w:ascii="Times New Roman" w:hAnsi="Times New Roman"/>
          <w:b w:val="0"/>
          <w:bCs w:val="0"/>
          <w:i/>
          <w:iCs/>
          <w:sz w:val="24"/>
          <w:szCs w:val="24"/>
          <w:vertAlign w:val="superscript"/>
        </w:rPr>
        <w:t>2</w:t>
      </w:r>
      <w:r>
        <w:rPr>
          <w:rFonts w:ascii="Times New Roman" w:hAnsi="Times New Roman"/>
          <w:b w:val="0"/>
          <w:bCs w:val="0"/>
          <w:i/>
          <w:iCs/>
          <w:sz w:val="24"/>
          <w:szCs w:val="24"/>
        </w:rPr>
        <w:t>) i uklonjena površina (m</w:t>
      </w:r>
      <w:r>
        <w:rPr>
          <w:rFonts w:ascii="Times New Roman" w:hAnsi="Times New Roman"/>
          <w:b w:val="0"/>
          <w:bCs w:val="0"/>
          <w:i/>
          <w:iCs/>
          <w:sz w:val="24"/>
          <w:szCs w:val="24"/>
          <w:vertAlign w:val="superscript"/>
        </w:rPr>
        <w:t>2</w:t>
      </w:r>
      <w:r>
        <w:rPr>
          <w:rFonts w:ascii="Times New Roman" w:hAnsi="Times New Roman"/>
          <w:b w:val="0"/>
          <w:bCs w:val="0"/>
          <w:i/>
          <w:iCs/>
          <w:sz w:val="24"/>
          <w:szCs w:val="24"/>
        </w:rPr>
        <w:t>)</w:t>
      </w:r>
    </w:p>
    <w:p w14:paraId="45D05B0E" w14:textId="77777777" w:rsidR="00496804" w:rsidRDefault="00496804">
      <w:pPr>
        <w:spacing w:line="240" w:lineRule="auto"/>
        <w:rPr>
          <w:rFonts w:ascii="Times New Roman" w:hAnsi="Times New Roman"/>
          <w:sz w:val="24"/>
        </w:rPr>
      </w:pPr>
    </w:p>
    <w:p w14:paraId="45D05B10" w14:textId="781557E6" w:rsidR="00496804" w:rsidRDefault="0037359D">
      <w:pPr>
        <w:spacing w:line="240" w:lineRule="auto"/>
        <w:rPr>
          <w:rFonts w:ascii="Times New Roman" w:hAnsi="Times New Roman"/>
          <w:sz w:val="24"/>
        </w:rPr>
      </w:pPr>
      <w:r>
        <w:rPr>
          <w:rFonts w:ascii="Times New Roman" w:hAnsi="Times New Roman"/>
          <w:sz w:val="24"/>
        </w:rPr>
        <w:t>Tablica ukazuje na značajnu površinu uklonjenih prostora i zgrada koja u prosjeku iznosi približno 33.000 m</w:t>
      </w:r>
      <w:r>
        <w:rPr>
          <w:rFonts w:ascii="Times New Roman" w:hAnsi="Times New Roman"/>
          <w:sz w:val="24"/>
          <w:vertAlign w:val="superscript"/>
        </w:rPr>
        <w:t>2</w:t>
      </w:r>
      <w:r>
        <w:rPr>
          <w:rFonts w:ascii="Times New Roman" w:hAnsi="Times New Roman"/>
          <w:sz w:val="24"/>
        </w:rPr>
        <w:t xml:space="preserve">. Osim kod rušenja, značajni građevni otpad nastaje prilikom adaptacija i rekonstrukcija. Ukupna količina nastalog građevnog otpada u 2017. godini procijenjena je na 1.225.263 t. </w:t>
      </w:r>
    </w:p>
    <w:p w14:paraId="45D05B11" w14:textId="77777777" w:rsidR="00496804" w:rsidRDefault="00496804">
      <w:pPr>
        <w:spacing w:line="240" w:lineRule="auto"/>
        <w:rPr>
          <w:rFonts w:ascii="Times New Roman" w:hAnsi="Times New Roman"/>
          <w:sz w:val="24"/>
        </w:rPr>
      </w:pPr>
    </w:p>
    <w:p w14:paraId="173CCC2A" w14:textId="4F40DB32" w:rsidR="00064990" w:rsidRPr="00064990" w:rsidRDefault="0037359D" w:rsidP="00064990">
      <w:pPr>
        <w:spacing w:line="240" w:lineRule="auto"/>
        <w:rPr>
          <w:rFonts w:ascii="Times New Roman" w:hAnsi="Times New Roman"/>
          <w:sz w:val="24"/>
        </w:rPr>
      </w:pPr>
      <w:r>
        <w:rPr>
          <w:rFonts w:ascii="Times New Roman" w:hAnsi="Times New Roman"/>
          <w:sz w:val="24"/>
        </w:rPr>
        <w:t xml:space="preserve">U dokumentu Pregled podataka o gospodarenju građevnim otpadom u </w:t>
      </w:r>
      <w:r w:rsidR="007E65DB">
        <w:rPr>
          <w:rFonts w:ascii="Times New Roman" w:hAnsi="Times New Roman"/>
          <w:sz w:val="24"/>
        </w:rPr>
        <w:t>2019</w:t>
      </w:r>
      <w:r>
        <w:rPr>
          <w:rFonts w:ascii="Times New Roman" w:hAnsi="Times New Roman"/>
          <w:sz w:val="24"/>
        </w:rPr>
        <w:t>. godini</w:t>
      </w:r>
      <w:r>
        <w:rPr>
          <w:rStyle w:val="Referencafusnote"/>
          <w:rFonts w:ascii="Times New Roman" w:hAnsi="Times New Roman"/>
          <w:sz w:val="24"/>
        </w:rPr>
        <w:footnoteReference w:id="56"/>
      </w:r>
      <w:r>
        <w:rPr>
          <w:rFonts w:ascii="Times New Roman" w:hAnsi="Times New Roman"/>
          <w:sz w:val="24"/>
        </w:rPr>
        <w:t xml:space="preserve"> navodi se: </w:t>
      </w:r>
      <w:r w:rsidR="00064990">
        <w:rPr>
          <w:rFonts w:ascii="Times New Roman" w:hAnsi="Times New Roman"/>
          <w:sz w:val="24"/>
        </w:rPr>
        <w:t>„</w:t>
      </w:r>
      <w:r w:rsidR="00064990" w:rsidRPr="00064990">
        <w:rPr>
          <w:rFonts w:ascii="Times New Roman" w:hAnsi="Times New Roman"/>
          <w:sz w:val="24"/>
        </w:rPr>
        <w:t>Najveći udio u građevnom otpadu čini zemlja, kamenje i otpad od jaružanja (45,5%) te miješani građevni otpad i otpad od rušenja objekata (19,1%). Slijede beton, cigle, crijep/pločice i keramika (16,1%), metali i njihove legure (13,0%) te ostale vrste otpada zastupljene s manje od 7 %.</w:t>
      </w:r>
    </w:p>
    <w:p w14:paraId="12712F44" w14:textId="15DB67FD" w:rsidR="00064990" w:rsidRPr="00064990" w:rsidRDefault="00064990" w:rsidP="00064990">
      <w:pPr>
        <w:spacing w:line="240" w:lineRule="auto"/>
        <w:rPr>
          <w:rFonts w:ascii="Times New Roman" w:hAnsi="Times New Roman"/>
          <w:sz w:val="24"/>
        </w:rPr>
      </w:pPr>
      <w:r w:rsidRPr="00064990">
        <w:rPr>
          <w:rFonts w:ascii="Times New Roman" w:hAnsi="Times New Roman"/>
          <w:sz w:val="24"/>
        </w:rPr>
        <w:t>Mineralni neopasni građevni otpad (ne uključujući iskope KB 17 05 04) ima veliki potencijal za ponovnu uporabu i recikliranje. Čini udio od 40,3% u ukupno nastalom građevnom otpadu.</w:t>
      </w:r>
    </w:p>
    <w:p w14:paraId="4EDF4E3E" w14:textId="04C3F0B6" w:rsidR="007116DC" w:rsidRDefault="00064990" w:rsidP="00064990">
      <w:pPr>
        <w:spacing w:line="240" w:lineRule="auto"/>
        <w:rPr>
          <w:rFonts w:ascii="Times New Roman" w:hAnsi="Times New Roman"/>
          <w:sz w:val="24"/>
        </w:rPr>
      </w:pPr>
      <w:r w:rsidRPr="00064990">
        <w:rPr>
          <w:rFonts w:ascii="Times New Roman" w:hAnsi="Times New Roman"/>
          <w:sz w:val="24"/>
        </w:rPr>
        <w:t>Procjenjuje se da opasni otpad u građevnom otpadu čini udio od 1,9% (26.006,8 t).</w:t>
      </w:r>
      <w:r>
        <w:rPr>
          <w:rFonts w:ascii="Times New Roman" w:hAnsi="Times New Roman"/>
          <w:sz w:val="24"/>
        </w:rPr>
        <w:t>“</w:t>
      </w:r>
      <w:r w:rsidR="00FA0A5F">
        <w:rPr>
          <w:rFonts w:ascii="Times New Roman" w:hAnsi="Times New Roman"/>
          <w:sz w:val="24"/>
        </w:rPr>
        <w:t>.</w:t>
      </w:r>
      <w:r w:rsidRPr="00064990" w:rsidDel="00064990">
        <w:rPr>
          <w:rFonts w:ascii="Times New Roman" w:hAnsi="Times New Roman"/>
          <w:sz w:val="24"/>
        </w:rPr>
        <w:t xml:space="preserve"> </w:t>
      </w:r>
      <w:r w:rsidR="0037359D">
        <w:rPr>
          <w:rFonts w:ascii="Times New Roman" w:hAnsi="Times New Roman"/>
          <w:sz w:val="24"/>
        </w:rPr>
        <w:t>Upravo se za tu kategoriju otpada može uočiti problem neprijavljivanja podataka u pojedinim županijama.</w:t>
      </w:r>
    </w:p>
    <w:p w14:paraId="45D05B13" w14:textId="77777777" w:rsidR="00496804" w:rsidRDefault="00496804">
      <w:pPr>
        <w:spacing w:line="240" w:lineRule="auto"/>
        <w:rPr>
          <w:rFonts w:ascii="Times New Roman" w:hAnsi="Times New Roman"/>
          <w:sz w:val="24"/>
        </w:rPr>
      </w:pPr>
    </w:p>
    <w:p w14:paraId="45D05B14" w14:textId="4F1363A2" w:rsidR="00496804" w:rsidRDefault="0037359D">
      <w:pPr>
        <w:spacing w:line="240" w:lineRule="auto"/>
        <w:rPr>
          <w:rFonts w:ascii="Times New Roman" w:hAnsi="Times New Roman"/>
          <w:sz w:val="24"/>
        </w:rPr>
      </w:pPr>
      <w:r>
        <w:rPr>
          <w:rFonts w:ascii="Times New Roman" w:hAnsi="Times New Roman"/>
          <w:sz w:val="24"/>
        </w:rPr>
        <w:t xml:space="preserve">Ukupna količina obrađenog, oporabljenog ili zbrinutog građevnog otpada </w:t>
      </w:r>
      <w:r w:rsidR="00A16F1A">
        <w:rPr>
          <w:rFonts w:ascii="Times New Roman" w:hAnsi="Times New Roman"/>
          <w:sz w:val="24"/>
        </w:rPr>
        <w:t xml:space="preserve">na području RH </w:t>
      </w:r>
      <w:r>
        <w:rPr>
          <w:rFonts w:ascii="Times New Roman" w:hAnsi="Times New Roman"/>
          <w:sz w:val="24"/>
        </w:rPr>
        <w:t xml:space="preserve">koja je prijavljena u Registar onečišćavanja okoliša (ROO) za </w:t>
      </w:r>
      <w:r w:rsidR="00907C6B" w:rsidRPr="00D26A00">
        <w:rPr>
          <w:rFonts w:ascii="Times New Roman" w:hAnsi="Times New Roman"/>
          <w:sz w:val="24"/>
        </w:rPr>
        <w:t>2019</w:t>
      </w:r>
      <w:r w:rsidRPr="00D26A00">
        <w:rPr>
          <w:rFonts w:ascii="Times New Roman" w:hAnsi="Times New Roman"/>
          <w:sz w:val="24"/>
        </w:rPr>
        <w:t>. godinu iznosila je</w:t>
      </w:r>
      <w:r w:rsidR="00D26A00">
        <w:rPr>
          <w:rFonts w:ascii="Times New Roman" w:hAnsi="Times New Roman"/>
          <w:sz w:val="24"/>
        </w:rPr>
        <w:t xml:space="preserve"> </w:t>
      </w:r>
      <w:r w:rsidR="00A16F1A">
        <w:rPr>
          <w:rFonts w:ascii="Times New Roman" w:hAnsi="Times New Roman"/>
          <w:sz w:val="24"/>
        </w:rPr>
        <w:t>1</w:t>
      </w:r>
      <w:r w:rsidR="00D26A00" w:rsidRPr="00D26A00">
        <w:rPr>
          <w:rFonts w:ascii="Times New Roman" w:hAnsi="Times New Roman"/>
          <w:sz w:val="24"/>
        </w:rPr>
        <w:t>.</w:t>
      </w:r>
      <w:r w:rsidR="00A16F1A">
        <w:rPr>
          <w:rFonts w:ascii="Times New Roman" w:hAnsi="Times New Roman"/>
          <w:sz w:val="24"/>
        </w:rPr>
        <w:t>076.662</w:t>
      </w:r>
      <w:r w:rsidR="00D26A00" w:rsidRPr="00D26A00">
        <w:rPr>
          <w:rFonts w:ascii="Times New Roman" w:hAnsi="Times New Roman"/>
          <w:sz w:val="24"/>
        </w:rPr>
        <w:t>,</w:t>
      </w:r>
      <w:r w:rsidR="00A16F1A">
        <w:rPr>
          <w:rFonts w:ascii="Times New Roman" w:hAnsi="Times New Roman"/>
          <w:sz w:val="24"/>
        </w:rPr>
        <w:t>0</w:t>
      </w:r>
      <w:r w:rsidR="00FA0A5F">
        <w:rPr>
          <w:rFonts w:ascii="Times New Roman" w:hAnsi="Times New Roman"/>
          <w:sz w:val="24"/>
        </w:rPr>
        <w:t xml:space="preserve"> </w:t>
      </w:r>
      <w:r w:rsidRPr="00D26A00">
        <w:rPr>
          <w:rFonts w:ascii="Times New Roman" w:hAnsi="Times New Roman"/>
          <w:sz w:val="24"/>
        </w:rPr>
        <w:t>t. Za</w:t>
      </w:r>
      <w:r>
        <w:rPr>
          <w:rFonts w:ascii="Times New Roman" w:hAnsi="Times New Roman"/>
          <w:sz w:val="24"/>
        </w:rPr>
        <w:t xml:space="preserve"> razliku od nastalog otpada, podaci o gospodarenju građevnim otpadom nisu temeljeni na procjenama, već isključivo na prijavama obveznika.</w:t>
      </w:r>
    </w:p>
    <w:p w14:paraId="45D05B16" w14:textId="77777777" w:rsidR="00496804" w:rsidRDefault="00496804">
      <w:pPr>
        <w:spacing w:line="240" w:lineRule="auto"/>
        <w:jc w:val="left"/>
        <w:rPr>
          <w:rFonts w:ascii="Times New Roman" w:hAnsi="Times New Roman"/>
          <w:sz w:val="24"/>
        </w:rPr>
      </w:pPr>
    </w:p>
    <w:p w14:paraId="45D05B17" w14:textId="4AFE0D5A"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10. Gospodarenje građevnim otpadom u </w:t>
      </w:r>
      <w:r w:rsidR="00E65A44">
        <w:rPr>
          <w:rFonts w:ascii="Times New Roman" w:hAnsi="Times New Roman"/>
          <w:b w:val="0"/>
          <w:bCs w:val="0"/>
          <w:i/>
          <w:iCs/>
          <w:sz w:val="24"/>
          <w:szCs w:val="24"/>
        </w:rPr>
        <w:t>2019</w:t>
      </w:r>
      <w:r>
        <w:rPr>
          <w:rFonts w:ascii="Times New Roman" w:hAnsi="Times New Roman"/>
          <w:b w:val="0"/>
          <w:bCs w:val="0"/>
          <w:i/>
          <w:iCs/>
          <w:sz w:val="24"/>
          <w:szCs w:val="24"/>
        </w:rPr>
        <w:t xml:space="preserve">., prema postupcima obrade, HAOP </w:t>
      </w:r>
      <w:r w:rsidR="00E65A44">
        <w:rPr>
          <w:rFonts w:ascii="Times New Roman" w:hAnsi="Times New Roman"/>
          <w:b w:val="0"/>
          <w:bCs w:val="0"/>
          <w:i/>
          <w:iCs/>
          <w:sz w:val="24"/>
          <w:szCs w:val="24"/>
        </w:rPr>
        <w:t>2020</w:t>
      </w:r>
      <w:r>
        <w:rPr>
          <w:rFonts w:ascii="Times New Roman" w:hAnsi="Times New Roman"/>
          <w:b w:val="0"/>
          <w:bCs w:val="0"/>
          <w:i/>
          <w:iCs/>
          <w:sz w:val="24"/>
          <w:szCs w:val="24"/>
        </w:rPr>
        <w:t>.</w:t>
      </w:r>
    </w:p>
    <w:tbl>
      <w:tblPr>
        <w:tblStyle w:val="Reetkatablic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77"/>
        <w:gridCol w:w="1651"/>
        <w:gridCol w:w="1651"/>
        <w:gridCol w:w="1651"/>
        <w:gridCol w:w="1651"/>
        <w:gridCol w:w="1651"/>
      </w:tblGrid>
      <w:tr w:rsidR="008513B3" w14:paraId="45D05B23" w14:textId="77777777">
        <w:tc>
          <w:tcPr>
            <w:tcW w:w="715" w:type="pct"/>
            <w:shd w:val="clear" w:color="auto" w:fill="FFCCA6" w:themeFill="accent5" w:themeFillTint="66"/>
            <w:vAlign w:val="center"/>
          </w:tcPr>
          <w:p w14:paraId="45D05B18" w14:textId="77777777" w:rsidR="00496804" w:rsidRDefault="00496804">
            <w:pPr>
              <w:spacing w:line="240" w:lineRule="auto"/>
              <w:jc w:val="left"/>
              <w:rPr>
                <w:rFonts w:ascii="Times New Roman" w:hAnsi="Times New Roman"/>
                <w:b/>
                <w:bCs/>
                <w:sz w:val="24"/>
              </w:rPr>
            </w:pPr>
          </w:p>
        </w:tc>
        <w:tc>
          <w:tcPr>
            <w:tcW w:w="857" w:type="pct"/>
            <w:shd w:val="clear" w:color="auto" w:fill="FFCCA6" w:themeFill="accent5" w:themeFillTint="66"/>
            <w:vAlign w:val="center"/>
          </w:tcPr>
          <w:p w14:paraId="45D05B19"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Svi R postupci</w:t>
            </w:r>
          </w:p>
          <w:p w14:paraId="45D05B1A"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c>
          <w:tcPr>
            <w:tcW w:w="857" w:type="pct"/>
            <w:shd w:val="clear" w:color="auto" w:fill="FFCCA6" w:themeFill="accent5" w:themeFillTint="66"/>
            <w:vAlign w:val="center"/>
          </w:tcPr>
          <w:p w14:paraId="45D05B1B"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Nasipavanje</w:t>
            </w:r>
          </w:p>
          <w:p w14:paraId="45D05B1C"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 (t)</w:t>
            </w:r>
          </w:p>
        </w:tc>
        <w:tc>
          <w:tcPr>
            <w:tcW w:w="857" w:type="pct"/>
            <w:shd w:val="clear" w:color="auto" w:fill="FFCCA6" w:themeFill="accent5" w:themeFillTint="66"/>
            <w:vAlign w:val="center"/>
          </w:tcPr>
          <w:p w14:paraId="45D05B1D"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Svi D postupci</w:t>
            </w:r>
          </w:p>
          <w:p w14:paraId="45D05B1E"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 (t)</w:t>
            </w:r>
          </w:p>
        </w:tc>
        <w:tc>
          <w:tcPr>
            <w:tcW w:w="857" w:type="pct"/>
            <w:shd w:val="clear" w:color="auto" w:fill="FFCCA6" w:themeFill="accent5" w:themeFillTint="66"/>
            <w:vAlign w:val="center"/>
          </w:tcPr>
          <w:p w14:paraId="45D05B1F"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PU/PP postupci </w:t>
            </w:r>
          </w:p>
          <w:p w14:paraId="45D05B20"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c>
          <w:tcPr>
            <w:tcW w:w="857" w:type="pct"/>
            <w:shd w:val="clear" w:color="auto" w:fill="FFCCA6" w:themeFill="accent5" w:themeFillTint="66"/>
            <w:vAlign w:val="center"/>
          </w:tcPr>
          <w:p w14:paraId="45D05B21"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Ukupno obrada</w:t>
            </w:r>
          </w:p>
          <w:p w14:paraId="45D05B22"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r>
      <w:tr w:rsidR="008513B3" w14:paraId="45D05B2A" w14:textId="77777777">
        <w:tc>
          <w:tcPr>
            <w:tcW w:w="715" w:type="pct"/>
            <w:shd w:val="clear" w:color="auto" w:fill="FFCCA6" w:themeFill="accent5" w:themeFillTint="66"/>
          </w:tcPr>
          <w:p w14:paraId="45D05B24" w14:textId="77777777" w:rsidR="00496804" w:rsidRDefault="0037359D">
            <w:pPr>
              <w:spacing w:line="240" w:lineRule="auto"/>
              <w:rPr>
                <w:rFonts w:ascii="Times New Roman" w:hAnsi="Times New Roman"/>
                <w:sz w:val="24"/>
              </w:rPr>
            </w:pPr>
            <w:r>
              <w:rPr>
                <w:rFonts w:ascii="Times New Roman" w:hAnsi="Times New Roman"/>
                <w:sz w:val="24"/>
              </w:rPr>
              <w:t>UKUPNO</w:t>
            </w:r>
          </w:p>
        </w:tc>
        <w:tc>
          <w:tcPr>
            <w:tcW w:w="857" w:type="pct"/>
            <w:shd w:val="clear" w:color="auto" w:fill="auto"/>
            <w:vAlign w:val="bottom"/>
          </w:tcPr>
          <w:p w14:paraId="45D05B25" w14:textId="0F5325F1" w:rsidR="00496804" w:rsidRDefault="002F1112">
            <w:pPr>
              <w:spacing w:line="240" w:lineRule="auto"/>
              <w:jc w:val="right"/>
              <w:rPr>
                <w:rFonts w:ascii="Times New Roman" w:hAnsi="Times New Roman"/>
                <w:sz w:val="24"/>
              </w:rPr>
            </w:pPr>
            <w:r>
              <w:rPr>
                <w:rFonts w:ascii="Times New Roman" w:hAnsi="Times New Roman"/>
                <w:sz w:val="24"/>
              </w:rPr>
              <w:t>598.768,9</w:t>
            </w:r>
            <w:r w:rsidR="0037359D">
              <w:rPr>
                <w:rFonts w:ascii="Times New Roman" w:hAnsi="Times New Roman"/>
                <w:sz w:val="24"/>
              </w:rPr>
              <w:t xml:space="preserve"> </w:t>
            </w:r>
          </w:p>
        </w:tc>
        <w:tc>
          <w:tcPr>
            <w:tcW w:w="857" w:type="pct"/>
            <w:shd w:val="clear" w:color="auto" w:fill="auto"/>
            <w:vAlign w:val="bottom"/>
          </w:tcPr>
          <w:p w14:paraId="45D05B26" w14:textId="03E345C7" w:rsidR="00496804" w:rsidRDefault="00FD6B9D">
            <w:pPr>
              <w:spacing w:line="240" w:lineRule="auto"/>
              <w:jc w:val="right"/>
              <w:rPr>
                <w:rFonts w:ascii="Times New Roman" w:hAnsi="Times New Roman"/>
                <w:sz w:val="24"/>
              </w:rPr>
            </w:pPr>
            <w:r>
              <w:rPr>
                <w:rFonts w:ascii="Times New Roman" w:hAnsi="Times New Roman"/>
                <w:sz w:val="24"/>
              </w:rPr>
              <w:t>164.764,4</w:t>
            </w:r>
            <w:r w:rsidR="0037359D">
              <w:rPr>
                <w:rFonts w:ascii="Times New Roman" w:hAnsi="Times New Roman"/>
                <w:sz w:val="24"/>
              </w:rPr>
              <w:t xml:space="preserve"> </w:t>
            </w:r>
          </w:p>
        </w:tc>
        <w:tc>
          <w:tcPr>
            <w:tcW w:w="857" w:type="pct"/>
            <w:shd w:val="clear" w:color="auto" w:fill="auto"/>
            <w:vAlign w:val="bottom"/>
          </w:tcPr>
          <w:p w14:paraId="45D05B27" w14:textId="40F891C0" w:rsidR="00496804" w:rsidRDefault="00FD6B9D">
            <w:pPr>
              <w:spacing w:line="240" w:lineRule="auto"/>
              <w:jc w:val="right"/>
              <w:rPr>
                <w:rFonts w:ascii="Times New Roman" w:hAnsi="Times New Roman"/>
                <w:sz w:val="24"/>
              </w:rPr>
            </w:pPr>
            <w:r>
              <w:rPr>
                <w:rFonts w:ascii="Times New Roman" w:hAnsi="Times New Roman"/>
                <w:sz w:val="24"/>
              </w:rPr>
              <w:t>312.168,9</w:t>
            </w:r>
            <w:r w:rsidR="0037359D">
              <w:rPr>
                <w:rFonts w:ascii="Times New Roman" w:hAnsi="Times New Roman"/>
                <w:sz w:val="24"/>
              </w:rPr>
              <w:t xml:space="preserve"> </w:t>
            </w:r>
          </w:p>
        </w:tc>
        <w:tc>
          <w:tcPr>
            <w:tcW w:w="857" w:type="pct"/>
            <w:shd w:val="clear" w:color="auto" w:fill="auto"/>
            <w:vAlign w:val="bottom"/>
          </w:tcPr>
          <w:p w14:paraId="45D05B28" w14:textId="1AFC3DE8" w:rsidR="00496804" w:rsidRDefault="008513B3">
            <w:pPr>
              <w:spacing w:line="240" w:lineRule="auto"/>
              <w:jc w:val="right"/>
              <w:rPr>
                <w:rFonts w:ascii="Times New Roman" w:hAnsi="Times New Roman"/>
                <w:sz w:val="24"/>
              </w:rPr>
            </w:pPr>
            <w:r>
              <w:rPr>
                <w:rFonts w:ascii="Times New Roman" w:hAnsi="Times New Roman"/>
                <w:sz w:val="24"/>
              </w:rPr>
              <w:t>959,8</w:t>
            </w:r>
            <w:r w:rsidR="0037359D">
              <w:rPr>
                <w:rFonts w:ascii="Times New Roman" w:hAnsi="Times New Roman"/>
                <w:sz w:val="24"/>
              </w:rPr>
              <w:t xml:space="preserve"> </w:t>
            </w:r>
          </w:p>
        </w:tc>
        <w:tc>
          <w:tcPr>
            <w:tcW w:w="857" w:type="pct"/>
            <w:shd w:val="clear" w:color="auto" w:fill="auto"/>
            <w:vAlign w:val="bottom"/>
          </w:tcPr>
          <w:p w14:paraId="45D05B29" w14:textId="59DFA7E0" w:rsidR="00496804" w:rsidRDefault="00E74D6B">
            <w:pPr>
              <w:spacing w:line="240" w:lineRule="auto"/>
              <w:jc w:val="right"/>
              <w:rPr>
                <w:rFonts w:ascii="Times New Roman" w:hAnsi="Times New Roman"/>
                <w:sz w:val="24"/>
              </w:rPr>
            </w:pPr>
            <w:r>
              <w:rPr>
                <w:rFonts w:ascii="Times New Roman" w:hAnsi="Times New Roman"/>
                <w:sz w:val="24"/>
              </w:rPr>
              <w:t>1.076.662</w:t>
            </w:r>
            <w:r w:rsidR="0037359D">
              <w:rPr>
                <w:rFonts w:ascii="Times New Roman" w:hAnsi="Times New Roman"/>
                <w:sz w:val="24"/>
              </w:rPr>
              <w:t xml:space="preserve"> </w:t>
            </w:r>
          </w:p>
        </w:tc>
      </w:tr>
    </w:tbl>
    <w:p w14:paraId="45D05B2B" w14:textId="77777777" w:rsidR="00496804" w:rsidRDefault="00496804">
      <w:pPr>
        <w:spacing w:line="240" w:lineRule="auto"/>
        <w:jc w:val="left"/>
        <w:rPr>
          <w:rFonts w:ascii="Times New Roman" w:hAnsi="Times New Roman"/>
          <w:sz w:val="24"/>
        </w:rPr>
      </w:pPr>
    </w:p>
    <w:p w14:paraId="45D05B2D" w14:textId="3B9DDB24" w:rsidR="00496804" w:rsidRDefault="0018559B" w:rsidP="005E7EFB">
      <w:pPr>
        <w:autoSpaceDE w:val="0"/>
        <w:autoSpaceDN w:val="0"/>
        <w:adjustRightInd w:val="0"/>
        <w:spacing w:line="240" w:lineRule="auto"/>
        <w:rPr>
          <w:rFonts w:ascii="Times New Roman" w:hAnsi="Times New Roman"/>
          <w:sz w:val="24"/>
        </w:rPr>
      </w:pPr>
      <w:r w:rsidRPr="0018559B">
        <w:rPr>
          <w:rFonts w:ascii="Times New Roman" w:hAnsi="Times New Roman"/>
          <w:sz w:val="24"/>
        </w:rPr>
        <w:t>Postupcima oporabe R (isključujući nasipavanje) obrađeno je 55,6% (598.768,9 t) građevnog otpada. Razmatrajući pojedine postupke oporabe R, najveće količine oporabljene su postupkom R5 (</w:t>
      </w:r>
      <w:r w:rsidR="00F615F1">
        <w:rPr>
          <w:rFonts w:ascii="Times New Roman" w:hAnsi="Times New Roman"/>
          <w:sz w:val="24"/>
        </w:rPr>
        <w:t>r</w:t>
      </w:r>
      <w:r w:rsidR="00F615F1" w:rsidRPr="00F615F1">
        <w:rPr>
          <w:rFonts w:ascii="Times New Roman" w:hAnsi="Times New Roman"/>
          <w:sz w:val="24"/>
        </w:rPr>
        <w:t>ecikliranje/obnavljanje drugih otpadnih anorganskih materijala</w:t>
      </w:r>
      <w:r w:rsidR="00F615F1">
        <w:rPr>
          <w:rFonts w:ascii="Times New Roman" w:hAnsi="Times New Roman"/>
          <w:sz w:val="24"/>
        </w:rPr>
        <w:t>,</w:t>
      </w:r>
      <w:r w:rsidR="00F615F1" w:rsidRPr="00F615F1">
        <w:rPr>
          <w:rFonts w:ascii="Times New Roman" w:hAnsi="Times New Roman"/>
          <w:sz w:val="24"/>
        </w:rPr>
        <w:t xml:space="preserve"> </w:t>
      </w:r>
      <w:r w:rsidRPr="0018559B">
        <w:rPr>
          <w:rFonts w:ascii="Times New Roman" w:hAnsi="Times New Roman"/>
          <w:sz w:val="24"/>
        </w:rPr>
        <w:t xml:space="preserve">63,3%, 379.209,5 t) koji podrazumijeva recikliranje anorganskih materijala (npr. obrada mineralnog otpada na drobilici), no, pretpostavlja se da se pod ovim postupkom prijavljuju i određene količine otpada koje su finalno </w:t>
      </w:r>
      <w:r w:rsidRPr="0018559B">
        <w:rPr>
          <w:rFonts w:ascii="Times New Roman" w:hAnsi="Times New Roman"/>
          <w:sz w:val="24"/>
        </w:rPr>
        <w:lastRenderedPageBreak/>
        <w:t>korištene u svrhu nasipavanja. Zatim slijede postupci R4 (</w:t>
      </w:r>
      <w:r w:rsidR="003C2A09">
        <w:rPr>
          <w:rFonts w:ascii="Times New Roman" w:hAnsi="Times New Roman"/>
          <w:sz w:val="24"/>
        </w:rPr>
        <w:t>r</w:t>
      </w:r>
      <w:r w:rsidR="003C2A09" w:rsidRPr="003C2A09">
        <w:rPr>
          <w:rFonts w:ascii="Times New Roman" w:hAnsi="Times New Roman"/>
          <w:sz w:val="24"/>
        </w:rPr>
        <w:t>ecikliranje/obnavljanje otpadnih metala i spojeva metala</w:t>
      </w:r>
      <w:r w:rsidR="003C2A09">
        <w:rPr>
          <w:rFonts w:ascii="Times New Roman" w:hAnsi="Times New Roman"/>
          <w:sz w:val="24"/>
        </w:rPr>
        <w:t>,</w:t>
      </w:r>
      <w:r w:rsidR="003C2A09" w:rsidRPr="003C2A09">
        <w:rPr>
          <w:rFonts w:ascii="Times New Roman" w:hAnsi="Times New Roman"/>
          <w:sz w:val="24"/>
        </w:rPr>
        <w:t xml:space="preserve"> </w:t>
      </w:r>
      <w:r w:rsidRPr="0018559B">
        <w:rPr>
          <w:rFonts w:ascii="Times New Roman" w:hAnsi="Times New Roman"/>
          <w:sz w:val="24"/>
        </w:rPr>
        <w:t>19,4%, 116.301,6 t) koji podrazumijeva recikliranje metala, te postupak R12 (</w:t>
      </w:r>
      <w:r w:rsidR="00B9750F">
        <w:rPr>
          <w:rFonts w:ascii="Times New Roman" w:hAnsi="Times New Roman"/>
          <w:sz w:val="24"/>
        </w:rPr>
        <w:t>r</w:t>
      </w:r>
      <w:r w:rsidR="00B9750F" w:rsidRPr="00B9750F">
        <w:rPr>
          <w:rFonts w:ascii="Times New Roman" w:hAnsi="Times New Roman"/>
          <w:sz w:val="24"/>
        </w:rPr>
        <w:t>azmjena otpada radi primjene bilo kojeg od postupaka oporabe navedenim pod R 1 – R 11</w:t>
      </w:r>
      <w:r w:rsidR="00B9750F">
        <w:rPr>
          <w:rFonts w:ascii="Times New Roman" w:hAnsi="Times New Roman"/>
          <w:sz w:val="24"/>
        </w:rPr>
        <w:t>,</w:t>
      </w:r>
      <w:r w:rsidR="00B9750F" w:rsidRPr="00B9750F">
        <w:rPr>
          <w:rFonts w:ascii="Times New Roman" w:hAnsi="Times New Roman"/>
          <w:sz w:val="24"/>
        </w:rPr>
        <w:t xml:space="preserve"> </w:t>
      </w:r>
      <w:r w:rsidRPr="0018559B">
        <w:rPr>
          <w:rFonts w:ascii="Times New Roman" w:hAnsi="Times New Roman"/>
          <w:sz w:val="24"/>
        </w:rPr>
        <w:t>16,7%, 99.824,53 t) kojim se otpad priprema za postupak oporabe.</w:t>
      </w:r>
      <w:r w:rsidR="00DA5A9A">
        <w:rPr>
          <w:rFonts w:ascii="Times New Roman" w:hAnsi="Times New Roman"/>
          <w:sz w:val="24"/>
        </w:rPr>
        <w:t xml:space="preserve"> </w:t>
      </w:r>
      <w:r w:rsidR="00DA5A9A" w:rsidRPr="00DA5A9A">
        <w:rPr>
          <w:rFonts w:ascii="Times New Roman" w:hAnsi="Times New Roman"/>
          <w:sz w:val="24"/>
        </w:rPr>
        <w:t>Količine građevnog otpada iskorištene za nasipavanje, koje se smatra posebnom vrstom oporabe, čine 15% (164.764,4 t) u ukupno obrađenom građevnom otpadu.</w:t>
      </w:r>
      <w:r w:rsidR="00DA5A9A">
        <w:rPr>
          <w:rFonts w:ascii="Times New Roman" w:hAnsi="Times New Roman"/>
          <w:sz w:val="24"/>
        </w:rPr>
        <w:t xml:space="preserve"> </w:t>
      </w:r>
      <w:r w:rsidR="00DA5A9A" w:rsidRPr="00DA5A9A">
        <w:rPr>
          <w:rFonts w:ascii="Times New Roman" w:hAnsi="Times New Roman"/>
          <w:sz w:val="24"/>
        </w:rPr>
        <w:t>Postupcima zbrinjavanja D obrađeno je 29% (312.168,9 t) građevnog otpada.</w:t>
      </w:r>
      <w:r w:rsidR="00DA5A9A">
        <w:rPr>
          <w:rFonts w:ascii="Times New Roman" w:hAnsi="Times New Roman"/>
          <w:sz w:val="24"/>
        </w:rPr>
        <w:t xml:space="preserve"> </w:t>
      </w:r>
      <w:r w:rsidR="00DA5A9A" w:rsidRPr="00DA5A9A">
        <w:rPr>
          <w:rFonts w:ascii="Times New Roman" w:hAnsi="Times New Roman"/>
          <w:sz w:val="24"/>
        </w:rPr>
        <w:t>Razmatrajući pojedine postupke D, prevladavajući udio od 96,5% (301.109,7 t) ima konačni postupak D1 - zbrinjavanja otpada na odlagalištu.</w:t>
      </w:r>
      <w:r w:rsidR="00641BF1" w:rsidRPr="00641BF1">
        <w:t xml:space="preserve"> </w:t>
      </w:r>
      <w:r w:rsidR="00641BF1" w:rsidRPr="00641BF1">
        <w:rPr>
          <w:rFonts w:ascii="Times New Roman" w:hAnsi="Times New Roman"/>
          <w:sz w:val="24"/>
        </w:rPr>
        <w:t xml:space="preserve">Mineralni neopasni građevni otpad čini udio od 33,9% u prijavljenom obrađenom otpadu (364.487,9 t). </w:t>
      </w:r>
      <w:r w:rsidR="00641BF1">
        <w:rPr>
          <w:rFonts w:ascii="Times New Roman" w:hAnsi="Times New Roman"/>
          <w:sz w:val="24"/>
        </w:rPr>
        <w:t xml:space="preserve"> </w:t>
      </w:r>
      <w:r w:rsidR="00DA5A9A" w:rsidRPr="00DA5A9A">
        <w:rPr>
          <w:rFonts w:ascii="Times New Roman" w:hAnsi="Times New Roman"/>
          <w:sz w:val="24"/>
        </w:rPr>
        <w:cr/>
      </w:r>
    </w:p>
    <w:p w14:paraId="45D05B2E" w14:textId="7F97A19E" w:rsidR="00496804" w:rsidRDefault="0037359D">
      <w:pPr>
        <w:spacing w:line="240" w:lineRule="auto"/>
        <w:rPr>
          <w:rFonts w:ascii="Times New Roman" w:hAnsi="Times New Roman"/>
          <w:bCs/>
          <w:sz w:val="24"/>
        </w:rPr>
      </w:pPr>
      <w:r>
        <w:rPr>
          <w:rFonts w:ascii="Times New Roman" w:hAnsi="Times New Roman"/>
          <w:bCs/>
          <w:sz w:val="24"/>
        </w:rPr>
        <w:t xml:space="preserve">Prema izračunu (koji ne obuhvaća sve vrste građevnog otpada) određenom u </w:t>
      </w:r>
      <w:bookmarkStart w:id="135" w:name="_Hlk51316168"/>
      <w:r>
        <w:rPr>
          <w:rFonts w:ascii="Times New Roman" w:hAnsi="Times New Roman"/>
          <w:bCs/>
          <w:sz w:val="24"/>
        </w:rPr>
        <w:t xml:space="preserve">Izvješću Komisije Europskom parlamentu, Vijeću i Europskom gospodarskom i socijalnom odboru </w:t>
      </w:r>
      <w:r w:rsidR="00FA0A5F">
        <w:rPr>
          <w:rFonts w:ascii="Times New Roman" w:hAnsi="Times New Roman"/>
          <w:bCs/>
          <w:sz w:val="24"/>
        </w:rPr>
        <w:t xml:space="preserve">i Odboru </w:t>
      </w:r>
      <w:r>
        <w:rPr>
          <w:rFonts w:ascii="Times New Roman" w:hAnsi="Times New Roman"/>
          <w:bCs/>
          <w:sz w:val="24"/>
        </w:rPr>
        <w:t>regija o provedbi zakonodavstva EU-a o otpadu u razdoblju 2010. – 2012. Provedba Direktive 2008/98/EZ o otpadu, Direktive 86/278/EEZ o mulju iz otpadnih voda, Direktive 1999/31/EZ o odlagalištima otpada, Direktive 94/62/EZ o ambalaži i ambalažnom otpadu, Direktive 2002/96/EZ o otpadnoj električnoj i elektroničkoj opremi (OEEO) i Direktive 2006/66/EZ o baterijama i akumulatorima (COM(2017) 88 final) od 27.2.2017.</w:t>
      </w:r>
      <w:bookmarkEnd w:id="135"/>
      <w:r>
        <w:rPr>
          <w:rStyle w:val="Referencafusnote"/>
          <w:rFonts w:ascii="Times New Roman" w:hAnsi="Times New Roman"/>
          <w:bCs/>
          <w:sz w:val="24"/>
        </w:rPr>
        <w:footnoteReference w:id="57"/>
      </w:r>
      <w:r>
        <w:rPr>
          <w:rFonts w:ascii="Times New Roman" w:hAnsi="Times New Roman"/>
          <w:bCs/>
          <w:sz w:val="24"/>
        </w:rPr>
        <w:t>, stopa oporabe građevnog otpada za 2017. godinu iznosi 52,57%. Ukoliko bi se razmatrale sve vrste građevnog otpada i svi postupci kojima je obrađen građevni otpad, stopa oporabe građevnog otpada bila bi niža.</w:t>
      </w:r>
    </w:p>
    <w:p w14:paraId="45D05B30" w14:textId="088D2EB0" w:rsidR="00496804" w:rsidRDefault="0037359D">
      <w:pPr>
        <w:tabs>
          <w:tab w:val="left" w:pos="1232"/>
        </w:tabs>
        <w:spacing w:line="240" w:lineRule="auto"/>
        <w:rPr>
          <w:rFonts w:ascii="Times New Roman" w:hAnsi="Times New Roman"/>
          <w:bCs/>
          <w:sz w:val="24"/>
        </w:rPr>
      </w:pPr>
      <w:r>
        <w:rPr>
          <w:rFonts w:ascii="Times New Roman" w:hAnsi="Times New Roman"/>
          <w:bCs/>
          <w:sz w:val="24"/>
        </w:rPr>
        <w:t xml:space="preserve">Sukladno </w:t>
      </w:r>
      <w:bookmarkStart w:id="136" w:name="_Hlk51317653"/>
      <w:r>
        <w:rPr>
          <w:rFonts w:ascii="Times New Roman" w:hAnsi="Times New Roman"/>
          <w:bCs/>
          <w:sz w:val="24"/>
        </w:rPr>
        <w:t>Direktivi 2008/98/EZ Europskog parlamenta i Vijeća od 19. studenoga 2008. o otpadu i stavljanju izvan snage određenih direktiva (Tekst značajan za EGP) (SL L 312/3 22.11.2008.)</w:t>
      </w:r>
      <w:bookmarkEnd w:id="136"/>
      <w:r>
        <w:rPr>
          <w:rStyle w:val="Referencafusnote"/>
          <w:rFonts w:ascii="Times New Roman" w:hAnsi="Times New Roman"/>
          <w:bCs/>
          <w:sz w:val="24"/>
        </w:rPr>
        <w:footnoteReference w:id="58"/>
      </w:r>
      <w:r>
        <w:rPr>
          <w:rFonts w:ascii="Times New Roman" w:hAnsi="Times New Roman"/>
          <w:bCs/>
          <w:sz w:val="24"/>
        </w:rPr>
        <w:t>, ciljana stopa oporabe građevnog otpada do 2020. godine iznosi 70% mase ukupno proizvedenog otpada, evidentna je nužnost dodatnih mjera za rješavanje problema proizvodnje i oporabe građevnog otpada kako bi se ostvarila mogućnost uspješnijeg gospodarenja istim, odnosno pružila prilika da se otpad pretvori u resurs.</w:t>
      </w:r>
    </w:p>
    <w:p w14:paraId="45D05B31" w14:textId="77777777" w:rsidR="00496804" w:rsidRDefault="00496804">
      <w:pPr>
        <w:spacing w:line="240" w:lineRule="auto"/>
        <w:rPr>
          <w:rFonts w:ascii="Times New Roman" w:hAnsi="Times New Roman"/>
          <w:b/>
          <w:bCs/>
          <w:sz w:val="24"/>
        </w:rPr>
      </w:pPr>
    </w:p>
    <w:p w14:paraId="45D05B3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Imajući u vidu navedeno, za sprječavanje nastanka otpada i povećanje postotka oporabe građevnog otpada potrebno je:</w:t>
      </w:r>
    </w:p>
    <w:p w14:paraId="45D05B33"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u fazi planiranja:</w:t>
      </w:r>
    </w:p>
    <w:p w14:paraId="45D05B34"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planirati građevine sa što dužim vijekom trajanja</w:t>
      </w:r>
    </w:p>
    <w:p w14:paraId="45D05B35"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obratiti pažnju na čitav životni vijek ugrađenih materijala</w:t>
      </w:r>
    </w:p>
    <w:p w14:paraId="45D05B36" w14:textId="77777777" w:rsidR="00496804" w:rsidRDefault="0037359D">
      <w:pPr>
        <w:pStyle w:val="Odlomakpopisa"/>
        <w:numPr>
          <w:ilvl w:val="0"/>
          <w:numId w:val="11"/>
        </w:numPr>
        <w:autoSpaceDE w:val="0"/>
        <w:autoSpaceDN w:val="0"/>
        <w:adjustRightInd w:val="0"/>
        <w:spacing w:line="240" w:lineRule="auto"/>
        <w:ind w:left="709" w:hanging="283"/>
        <w:rPr>
          <w:rFonts w:ascii="Times New Roman" w:hAnsi="Times New Roman" w:cs="Times New Roman"/>
          <w:b w:val="0"/>
          <w:sz w:val="24"/>
        </w:rPr>
      </w:pPr>
      <w:r>
        <w:rPr>
          <w:rFonts w:ascii="Times New Roman" w:hAnsi="Times New Roman" w:cs="Times New Roman"/>
          <w:b w:val="0"/>
          <w:sz w:val="24"/>
        </w:rPr>
        <w:t>omogućiti jednostavno odvajanje dijelova građevine s kratkim životnim vijekom radi olakšavanja odvajanja otpada</w:t>
      </w:r>
    </w:p>
    <w:p w14:paraId="45D05B37" w14:textId="414B716A"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izrađivati projekte rušenja</w:t>
      </w:r>
      <w:r w:rsidR="00C45B7A">
        <w:rPr>
          <w:rFonts w:ascii="Times New Roman" w:hAnsi="Times New Roman" w:cs="Times New Roman"/>
          <w:b w:val="0"/>
          <w:sz w:val="24"/>
        </w:rPr>
        <w:t xml:space="preserve"> sa revizijom </w:t>
      </w:r>
      <w:r w:rsidR="0047497D">
        <w:rPr>
          <w:rFonts w:ascii="Times New Roman" w:hAnsi="Times New Roman" w:cs="Times New Roman"/>
          <w:b w:val="0"/>
          <w:sz w:val="24"/>
        </w:rPr>
        <w:t>prije</w:t>
      </w:r>
      <w:r w:rsidR="00060AD8">
        <w:rPr>
          <w:rFonts w:ascii="Times New Roman" w:hAnsi="Times New Roman" w:cs="Times New Roman"/>
          <w:b w:val="0"/>
          <w:sz w:val="24"/>
        </w:rPr>
        <w:t xml:space="preserve"> rušenja</w:t>
      </w:r>
      <w:r w:rsidR="00C83C5B">
        <w:rPr>
          <w:rStyle w:val="Referencafusnote"/>
          <w:rFonts w:ascii="Times New Roman" w:hAnsi="Times New Roman" w:cs="Times New Roman"/>
          <w:b w:val="0"/>
          <w:sz w:val="24"/>
        </w:rPr>
        <w:footnoteReference w:id="59"/>
      </w:r>
    </w:p>
    <w:p w14:paraId="45D05B38"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kod planiranja gradilišta:</w:t>
      </w:r>
    </w:p>
    <w:p w14:paraId="45D05B39"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koordinirati sve tvrtke koje rade na jednom gradilištu</w:t>
      </w:r>
    </w:p>
    <w:p w14:paraId="45D05B3A" w14:textId="07E5243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 xml:space="preserve">organizirati </w:t>
      </w:r>
      <w:r w:rsidR="005421B9">
        <w:rPr>
          <w:rFonts w:ascii="Times New Roman" w:hAnsi="Times New Roman" w:cs="Times New Roman"/>
          <w:b w:val="0"/>
          <w:sz w:val="24"/>
        </w:rPr>
        <w:t>identifikaciju</w:t>
      </w:r>
      <w:r w:rsidR="00813AF9">
        <w:rPr>
          <w:rFonts w:ascii="Times New Roman" w:hAnsi="Times New Roman" w:cs="Times New Roman"/>
          <w:b w:val="0"/>
          <w:sz w:val="24"/>
        </w:rPr>
        <w:t>,</w:t>
      </w:r>
      <w:r w:rsidR="005421B9">
        <w:rPr>
          <w:rFonts w:ascii="Times New Roman" w:hAnsi="Times New Roman" w:cs="Times New Roman"/>
          <w:b w:val="0"/>
          <w:sz w:val="24"/>
        </w:rPr>
        <w:t xml:space="preserve"> </w:t>
      </w:r>
      <w:r>
        <w:rPr>
          <w:rFonts w:ascii="Times New Roman" w:hAnsi="Times New Roman" w:cs="Times New Roman"/>
          <w:b w:val="0"/>
          <w:sz w:val="24"/>
        </w:rPr>
        <w:t xml:space="preserve">odvajanje </w:t>
      </w:r>
      <w:r w:rsidR="00813AF9">
        <w:rPr>
          <w:rFonts w:ascii="Times New Roman" w:hAnsi="Times New Roman" w:cs="Times New Roman"/>
          <w:b w:val="0"/>
          <w:sz w:val="24"/>
        </w:rPr>
        <w:t>i skupljanje</w:t>
      </w:r>
      <w:r w:rsidR="002D069A">
        <w:rPr>
          <w:rFonts w:ascii="Times New Roman" w:hAnsi="Times New Roman" w:cs="Times New Roman"/>
          <w:b w:val="0"/>
          <w:sz w:val="24"/>
        </w:rPr>
        <w:t xml:space="preserve"> otpada</w:t>
      </w:r>
      <w:r>
        <w:rPr>
          <w:rFonts w:ascii="Times New Roman" w:hAnsi="Times New Roman" w:cs="Times New Roman"/>
          <w:b w:val="0"/>
          <w:sz w:val="24"/>
        </w:rPr>
        <w:t xml:space="preserve"> na </w:t>
      </w:r>
      <w:r w:rsidR="008405A6">
        <w:rPr>
          <w:rFonts w:ascii="Times New Roman" w:hAnsi="Times New Roman" w:cs="Times New Roman"/>
          <w:b w:val="0"/>
          <w:sz w:val="24"/>
        </w:rPr>
        <w:t>mjestu nastanka</w:t>
      </w:r>
    </w:p>
    <w:p w14:paraId="45D05B3B" w14:textId="31ECB56B" w:rsidR="0006164E" w:rsidRPr="00BF6DD7"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dogovoriti oporabu iskoristivih materijala</w:t>
      </w:r>
    </w:p>
    <w:p w14:paraId="45D05B3C"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kod odabira građevnih materijala:</w:t>
      </w:r>
    </w:p>
    <w:p w14:paraId="45D05B3D"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voditi računa o ekonomičnosti i oporabljivosti istih</w:t>
      </w:r>
    </w:p>
    <w:p w14:paraId="45D05B3E"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koristiti u najmanjoj mogućoj mjeri mješavine organskih i anorganskih materijala</w:t>
      </w:r>
    </w:p>
    <w:p w14:paraId="45D05B3F"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što manje koristiti kompozite</w:t>
      </w:r>
    </w:p>
    <w:p w14:paraId="45D05B40" w14:textId="7CAB1962"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lastRenderedPageBreak/>
        <w:t>koristiti reciklirani materijal.</w:t>
      </w:r>
    </w:p>
    <w:p w14:paraId="4AF9C8C6" w14:textId="77777777" w:rsidR="00CD1021" w:rsidRPr="00CD1021" w:rsidRDefault="00CD1021" w:rsidP="00CD1021">
      <w:pPr>
        <w:autoSpaceDE w:val="0"/>
        <w:autoSpaceDN w:val="0"/>
        <w:adjustRightInd w:val="0"/>
        <w:spacing w:line="240" w:lineRule="auto"/>
        <w:ind w:left="426"/>
        <w:jc w:val="left"/>
        <w:rPr>
          <w:rFonts w:ascii="Times New Roman" w:hAnsi="Times New Roman"/>
          <w:sz w:val="24"/>
        </w:rPr>
      </w:pPr>
    </w:p>
    <w:p w14:paraId="3E4BE567" w14:textId="7720165E" w:rsidR="00955A73" w:rsidRDefault="00EE5EFE">
      <w:pPr>
        <w:spacing w:line="240" w:lineRule="auto"/>
        <w:rPr>
          <w:rFonts w:ascii="Times New Roman" w:hAnsi="Times New Roman"/>
          <w:sz w:val="24"/>
        </w:rPr>
      </w:pPr>
      <w:r>
        <w:rPr>
          <w:rFonts w:ascii="Times New Roman" w:hAnsi="Times New Roman"/>
          <w:sz w:val="24"/>
        </w:rPr>
        <w:t xml:space="preserve">Protokol </w:t>
      </w:r>
      <w:r w:rsidR="005A1802" w:rsidRPr="005A1802">
        <w:rPr>
          <w:rFonts w:ascii="Times New Roman" w:hAnsi="Times New Roman"/>
          <w:sz w:val="24"/>
        </w:rPr>
        <w:t>EU-a za gospodarenje građevinskim otpadom i otpadom od rušenja</w:t>
      </w:r>
      <w:r w:rsidR="004859AE">
        <w:rPr>
          <w:rFonts w:ascii="Times New Roman" w:hAnsi="Times New Roman"/>
          <w:sz w:val="24"/>
        </w:rPr>
        <w:t xml:space="preserve"> definirao je </w:t>
      </w:r>
      <w:r w:rsidR="005224F9">
        <w:rPr>
          <w:rFonts w:ascii="Times New Roman" w:hAnsi="Times New Roman"/>
          <w:sz w:val="24"/>
        </w:rPr>
        <w:t>tri cilja</w:t>
      </w:r>
      <w:r w:rsidR="00824DB3">
        <w:rPr>
          <w:rFonts w:ascii="Times New Roman" w:hAnsi="Times New Roman"/>
          <w:sz w:val="24"/>
        </w:rPr>
        <w:t>.</w:t>
      </w:r>
    </w:p>
    <w:p w14:paraId="719661C5" w14:textId="77777777" w:rsidR="00955A73" w:rsidRDefault="00955A73">
      <w:pPr>
        <w:spacing w:line="240" w:lineRule="auto"/>
        <w:rPr>
          <w:rFonts w:ascii="Times New Roman" w:hAnsi="Times New Roman"/>
          <w:sz w:val="24"/>
        </w:rPr>
      </w:pPr>
    </w:p>
    <w:p w14:paraId="45D05B42" w14:textId="37DE34D9" w:rsidR="00496804" w:rsidRDefault="0037359D">
      <w:pPr>
        <w:spacing w:line="240" w:lineRule="auto"/>
        <w:rPr>
          <w:rFonts w:ascii="Times New Roman" w:hAnsi="Times New Roman"/>
          <w:sz w:val="24"/>
        </w:rPr>
      </w:pPr>
      <w:r>
        <w:rPr>
          <w:rFonts w:ascii="Times New Roman" w:hAnsi="Times New Roman"/>
          <w:sz w:val="24"/>
        </w:rPr>
        <w:t>Spr</w:t>
      </w:r>
      <w:r w:rsidR="00824DB3">
        <w:rPr>
          <w:rFonts w:ascii="Times New Roman" w:hAnsi="Times New Roman"/>
          <w:sz w:val="24"/>
        </w:rPr>
        <w:t>j</w:t>
      </w:r>
      <w:r>
        <w:rPr>
          <w:rFonts w:ascii="Times New Roman" w:hAnsi="Times New Roman"/>
          <w:sz w:val="24"/>
        </w:rPr>
        <w:t xml:space="preserve">ečavanje nastanka građevnog otpada moguće je i kružnom obnovom zgrada. Na taj način materijali konstrukcije zgrade se ponovno upotrebljavaju u istu svrhu za koju su bili zamišljeni, u količini koja je ekvivalentna volumenu nerazgrađene konstrukcije zgrade. </w:t>
      </w:r>
    </w:p>
    <w:p w14:paraId="45D05B43" w14:textId="77777777" w:rsidR="00496804" w:rsidRDefault="00496804">
      <w:pPr>
        <w:spacing w:line="240" w:lineRule="auto"/>
        <w:rPr>
          <w:rFonts w:ascii="Times New Roman" w:hAnsi="Times New Roman"/>
          <w:sz w:val="24"/>
        </w:rPr>
      </w:pPr>
    </w:p>
    <w:p w14:paraId="45D05B44" w14:textId="77777777" w:rsidR="00496804" w:rsidRDefault="0037359D">
      <w:pPr>
        <w:spacing w:line="240" w:lineRule="auto"/>
        <w:rPr>
          <w:rFonts w:ascii="Times New Roman" w:hAnsi="Times New Roman"/>
          <w:sz w:val="24"/>
        </w:rPr>
      </w:pPr>
      <w:r>
        <w:rPr>
          <w:rFonts w:ascii="Times New Roman" w:hAnsi="Times New Roman"/>
          <w:sz w:val="24"/>
        </w:rPr>
        <w:t>Istovremeno, postojeći otpad se može tretirati jednim od postupaka: priprema za ponovnu uporabu, recikliranje, drugi postupci oporabe (npr. energetska oporaba) ili zbrinjavanje otpada.</w:t>
      </w:r>
      <w:r>
        <w:rPr>
          <w:rFonts w:ascii="Times New Roman" w:hAnsi="Times New Roman"/>
          <w:sz w:val="24"/>
          <w:shd w:val="clear" w:color="auto" w:fill="FFFFFF"/>
        </w:rPr>
        <w:t xml:space="preserve"> Kako najveća količina građevnog otpada nastaje rušenjem starih građevina te imajući u vidu red prvenstva gospodarenja otpadom, rušenje bi trebalo organizirati na način da se što je moguće više spriječi nastajanje građevnog otpada, da se što je moguće više dijelova istih pripremi za ponovnu uporabu odnosno za recikliranje, obzirom da je najmanje poželjan način gospodarenja građevnim otpadom zbrinjavanje na odlagalištima otpada.</w:t>
      </w:r>
    </w:p>
    <w:p w14:paraId="45D05B46" w14:textId="410AB352" w:rsidR="00496804" w:rsidRDefault="00496804">
      <w:pPr>
        <w:spacing w:line="240" w:lineRule="auto"/>
        <w:rPr>
          <w:rFonts w:ascii="Times New Roman" w:hAnsi="Times New Roman"/>
          <w:sz w:val="24"/>
        </w:rPr>
      </w:pPr>
    </w:p>
    <w:p w14:paraId="45D05B47" w14:textId="77777777" w:rsidR="00496804" w:rsidRDefault="0037359D">
      <w:pPr>
        <w:pStyle w:val="Naslov2"/>
        <w:ind w:left="426" w:hanging="426"/>
        <w:rPr>
          <w:rFonts w:ascii="Times New Roman" w:hAnsi="Times New Roman" w:cs="Times New Roman"/>
          <w:color w:val="auto"/>
          <w:sz w:val="24"/>
          <w:szCs w:val="24"/>
        </w:rPr>
      </w:pPr>
      <w:bookmarkStart w:id="137" w:name="_Toc51851638"/>
      <w:r>
        <w:rPr>
          <w:rFonts w:ascii="Times New Roman" w:hAnsi="Times New Roman" w:cs="Times New Roman"/>
          <w:color w:val="auto"/>
          <w:sz w:val="24"/>
          <w:szCs w:val="24"/>
        </w:rPr>
        <w:t>PREGLED STANJA NA REGIONALNOJ I LOKALNOJ RAZINI</w:t>
      </w:r>
      <w:bookmarkEnd w:id="137"/>
    </w:p>
    <w:p w14:paraId="45D05B48" w14:textId="77777777" w:rsidR="00496804" w:rsidRDefault="00496804">
      <w:pPr>
        <w:spacing w:line="240" w:lineRule="auto"/>
        <w:rPr>
          <w:rFonts w:ascii="Times New Roman" w:hAnsi="Times New Roman"/>
          <w:sz w:val="24"/>
        </w:rPr>
      </w:pPr>
    </w:p>
    <w:p w14:paraId="45D05B49" w14:textId="77777777" w:rsidR="00496804" w:rsidRDefault="0037359D">
      <w:pPr>
        <w:pStyle w:val="Naslov3"/>
        <w:rPr>
          <w:rFonts w:ascii="Times New Roman" w:eastAsia="Times New Roman" w:hAnsi="Times New Roman" w:cs="Times New Roman"/>
          <w:bCs w:val="0"/>
          <w:color w:val="auto"/>
          <w:spacing w:val="0"/>
          <w:sz w:val="24"/>
          <w:szCs w:val="24"/>
          <w:lang w:eastAsia="en-GB"/>
        </w:rPr>
      </w:pPr>
      <w:bookmarkStart w:id="138" w:name="_Toc51851639"/>
      <w:r>
        <w:rPr>
          <w:rFonts w:ascii="Times New Roman" w:eastAsia="Times New Roman" w:hAnsi="Times New Roman" w:cs="Times New Roman"/>
          <w:bCs w:val="0"/>
          <w:color w:val="auto"/>
          <w:spacing w:val="0"/>
          <w:sz w:val="24"/>
          <w:szCs w:val="24"/>
          <w:lang w:eastAsia="en-GB"/>
        </w:rPr>
        <w:t>Anketno istraživanje</w:t>
      </w:r>
      <w:bookmarkEnd w:id="138"/>
    </w:p>
    <w:p w14:paraId="45D05B4A" w14:textId="25070A9D" w:rsidR="00496804" w:rsidRDefault="0037359D">
      <w:pPr>
        <w:spacing w:line="240" w:lineRule="auto"/>
        <w:rPr>
          <w:rFonts w:ascii="Times New Roman" w:hAnsi="Times New Roman"/>
          <w:bCs/>
          <w:sz w:val="24"/>
        </w:rPr>
      </w:pPr>
      <w:r>
        <w:rPr>
          <w:rFonts w:ascii="Times New Roman" w:hAnsi="Times New Roman"/>
          <w:bCs/>
          <w:sz w:val="24"/>
        </w:rPr>
        <w:t>Anketno istraživanje putem online upitnika koje se provodilo tijekom studenog</w:t>
      </w:r>
      <w:r w:rsidR="00824DB3">
        <w:rPr>
          <w:rFonts w:ascii="Times New Roman" w:hAnsi="Times New Roman"/>
          <w:bCs/>
          <w:sz w:val="24"/>
        </w:rPr>
        <w:t>a</w:t>
      </w:r>
      <w:r>
        <w:rPr>
          <w:rFonts w:ascii="Times New Roman" w:hAnsi="Times New Roman"/>
          <w:bCs/>
          <w:sz w:val="24"/>
        </w:rPr>
        <w:t xml:space="preserve"> i prosinca 2019. godine</w:t>
      </w:r>
      <w:r w:rsidR="00444502">
        <w:rPr>
          <w:rFonts w:ascii="Times New Roman" w:hAnsi="Times New Roman"/>
          <w:bCs/>
          <w:sz w:val="24"/>
        </w:rPr>
        <w:t>,</w:t>
      </w:r>
      <w:r>
        <w:rPr>
          <w:rFonts w:ascii="Times New Roman" w:hAnsi="Times New Roman"/>
          <w:bCs/>
          <w:sz w:val="24"/>
        </w:rPr>
        <w:t xml:space="preserve"> bilo je namijenjeno jedinicama lokalne samouprave, županijskim zavodima za prostorno uređenje i drugim nadležnim upravnim i komunalnim organizacijama  radi uvida u postojeće stanje i planove razvoja kružnog gospodarenja prostorom i zgradama za razdoblje od 2020. do 2027. godine. Upitniku je pristupilo ukupno 157 pristupnika</w:t>
      </w:r>
      <w:r>
        <w:rPr>
          <w:rFonts w:ascii="Times New Roman" w:hAnsi="Times New Roman"/>
          <w:sz w:val="24"/>
          <w:shd w:val="clear" w:color="auto" w:fill="FFFFFF"/>
        </w:rPr>
        <w:t xml:space="preserve"> različitih funkcija i područja djelovanja u upravi pojedinih JLP(R)S</w:t>
      </w:r>
      <w:r>
        <w:rPr>
          <w:rFonts w:ascii="Times New Roman" w:hAnsi="Times New Roman"/>
          <w:bCs/>
          <w:sz w:val="24"/>
        </w:rPr>
        <w:t xml:space="preserve">, predstavnici </w:t>
      </w:r>
      <w:r w:rsidR="00621AB4">
        <w:rPr>
          <w:rFonts w:ascii="Times New Roman" w:hAnsi="Times New Roman"/>
          <w:bCs/>
          <w:sz w:val="24"/>
        </w:rPr>
        <w:t>tri</w:t>
      </w:r>
      <w:r>
        <w:rPr>
          <w:rFonts w:ascii="Times New Roman" w:hAnsi="Times New Roman"/>
          <w:bCs/>
          <w:sz w:val="24"/>
        </w:rPr>
        <w:t xml:space="preserve"> županije, 53 grada i 81 općine. </w:t>
      </w:r>
    </w:p>
    <w:p w14:paraId="45D05B4B" w14:textId="77777777" w:rsidR="00496804" w:rsidRDefault="0037359D">
      <w:pPr>
        <w:spacing w:line="240" w:lineRule="auto"/>
        <w:rPr>
          <w:rFonts w:ascii="Times New Roman" w:hAnsi="Times New Roman"/>
          <w:bCs/>
          <w:sz w:val="24"/>
        </w:rPr>
      </w:pPr>
      <w:r>
        <w:rPr>
          <w:rFonts w:ascii="Times New Roman" w:hAnsi="Times New Roman"/>
          <w:bCs/>
          <w:sz w:val="24"/>
        </w:rPr>
        <w:t xml:space="preserve">Prema informiranosti, potrebama i postojećim podacima, dobiveni rezultati su okvirni za donošenje zaključaka o trenutnom stanju o potrebama razvoja kružnog gospodarenja prostorom i zgradama u RH. </w:t>
      </w:r>
    </w:p>
    <w:p w14:paraId="45D05BC4" w14:textId="77777777" w:rsidR="00496804" w:rsidRDefault="00496804">
      <w:pPr>
        <w:spacing w:line="240" w:lineRule="auto"/>
        <w:rPr>
          <w:rFonts w:ascii="Times New Roman" w:hAnsi="Times New Roman"/>
          <w:spacing w:val="20"/>
          <w:sz w:val="24"/>
        </w:rPr>
      </w:pPr>
    </w:p>
    <w:p w14:paraId="45D05BC6" w14:textId="529509CB" w:rsidR="00496804" w:rsidRDefault="0037359D">
      <w:pPr>
        <w:spacing w:line="240" w:lineRule="auto"/>
        <w:rPr>
          <w:rFonts w:ascii="Times New Roman" w:hAnsi="Times New Roman"/>
          <w:sz w:val="24"/>
        </w:rPr>
      </w:pPr>
      <w:r>
        <w:rPr>
          <w:rFonts w:ascii="Times New Roman" w:hAnsi="Times New Roman"/>
          <w:sz w:val="24"/>
        </w:rPr>
        <w:t>U sklopu odgovora</w:t>
      </w:r>
      <w:r w:rsidR="00371305">
        <w:rPr>
          <w:rFonts w:ascii="Times New Roman" w:hAnsi="Times New Roman"/>
          <w:sz w:val="24"/>
        </w:rPr>
        <w:t xml:space="preserve"> na anketni upitnik</w:t>
      </w:r>
      <w:r>
        <w:rPr>
          <w:rFonts w:ascii="Times New Roman" w:hAnsi="Times New Roman"/>
          <w:sz w:val="24"/>
        </w:rPr>
        <w:t xml:space="preserve">, 64,33% ispitanika je </w:t>
      </w:r>
      <w:r>
        <w:rPr>
          <w:rFonts w:ascii="Times New Roman" w:hAnsi="Times New Roman"/>
          <w:bCs/>
          <w:sz w:val="24"/>
        </w:rPr>
        <w:t>nave</w:t>
      </w:r>
      <w:r w:rsidR="00A65470">
        <w:rPr>
          <w:rFonts w:ascii="Times New Roman" w:hAnsi="Times New Roman"/>
          <w:bCs/>
          <w:sz w:val="24"/>
        </w:rPr>
        <w:t>l</w:t>
      </w:r>
      <w:r>
        <w:rPr>
          <w:rFonts w:ascii="Times New Roman" w:hAnsi="Times New Roman"/>
          <w:bCs/>
          <w:sz w:val="24"/>
        </w:rPr>
        <w:t>o sadržaje koji nedostaju unutar JLS,</w:t>
      </w:r>
      <w:r>
        <w:rPr>
          <w:rFonts w:ascii="Times New Roman" w:hAnsi="Times New Roman"/>
          <w:sz w:val="24"/>
        </w:rPr>
        <w:t xml:space="preserve"> a mogli bi se realizirati po modelu kružnog gospodarenja prostorom i zgradama. Prema namjeni navedeni su:</w:t>
      </w:r>
    </w:p>
    <w:p w14:paraId="45D05BC7" w14:textId="77777777" w:rsidR="00496804" w:rsidRDefault="0037359D">
      <w:pPr>
        <w:pStyle w:val="Odlomakpopisa"/>
        <w:numPr>
          <w:ilvl w:val="0"/>
          <w:numId w:val="12"/>
        </w:numPr>
        <w:spacing w:line="240" w:lineRule="auto"/>
        <w:ind w:left="426" w:hanging="284"/>
        <w:rPr>
          <w:rFonts w:ascii="Times New Roman" w:hAnsi="Times New Roman" w:cs="Times New Roman"/>
          <w:b w:val="0"/>
          <w:bCs/>
          <w:sz w:val="24"/>
        </w:rPr>
      </w:pPr>
      <w:bookmarkStart w:id="139" w:name="_Hlk38141697"/>
      <w:r>
        <w:rPr>
          <w:rFonts w:ascii="Times New Roman" w:hAnsi="Times New Roman" w:cs="Times New Roman"/>
          <w:b w:val="0"/>
          <w:sz w:val="24"/>
        </w:rPr>
        <w:t>javni i društveni sadržaji:</w:t>
      </w:r>
      <w:r>
        <w:rPr>
          <w:rFonts w:ascii="Times New Roman" w:hAnsi="Times New Roman" w:cs="Times New Roman"/>
          <w:b w:val="0"/>
          <w:bCs/>
          <w:sz w:val="24"/>
        </w:rPr>
        <w:t xml:space="preserve"> administrativni sadržaji, ambulanta, centar za mlade, centar udruga, depo muzeja, dom za starije i nemoćne, društveni centar, edukacijski centar, galerija, glazbene vježbaonice, interpretacijski centar, istraživački institut, kino, knjižnica, koncertna dvorana, konferencijska dvorana, kulturni centar, kulturno-informativni centar, multifunkcionalna dvorana, multimedijalni sadržaji, muzej, obrazovno-edukacijski sadržaji, polivalentna dvorana, prostori za udruge, škola, vatrogasni dom, zgrada uprave</w:t>
      </w:r>
    </w:p>
    <w:p w14:paraId="45D05BC8" w14:textId="777777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t>ugostiteljsko-turistički sadržaji:</w:t>
      </w:r>
      <w:r>
        <w:rPr>
          <w:rFonts w:ascii="Times New Roman" w:hAnsi="Times New Roman" w:cs="Times New Roman"/>
          <w:sz w:val="24"/>
        </w:rPr>
        <w:t xml:space="preserve"> </w:t>
      </w:r>
      <w:r>
        <w:rPr>
          <w:rFonts w:ascii="Times New Roman" w:hAnsi="Times New Roman" w:cs="Times New Roman"/>
          <w:b w:val="0"/>
          <w:sz w:val="24"/>
        </w:rPr>
        <w:t>aquapark, centar zdravstvenog turizma, hotel, kamp, kušaonica, planinarski dom, restoran, turistički sadržaji, turističko-sportski centar, ugostiteljski sadržaji</w:t>
      </w:r>
    </w:p>
    <w:p w14:paraId="45D05BC9" w14:textId="777777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t>gospodarski sadržaji:</w:t>
      </w:r>
      <w:r>
        <w:rPr>
          <w:rFonts w:ascii="Times New Roman" w:hAnsi="Times New Roman" w:cs="Times New Roman"/>
          <w:b w:val="0"/>
          <w:bCs/>
          <w:sz w:val="24"/>
        </w:rPr>
        <w:t xml:space="preserve"> </w:t>
      </w:r>
      <w:r>
        <w:rPr>
          <w:rFonts w:ascii="Times New Roman" w:hAnsi="Times New Roman" w:cs="Times New Roman"/>
          <w:b w:val="0"/>
          <w:sz w:val="24"/>
        </w:rPr>
        <w:t>centar kompetencije, co-working centar, gradska tržnica, obrti, poduzetnički inkubator, poslovni prostori, razvojni centar, sajamski sadržaji, smještajni kapaciteti, trgovine</w:t>
      </w:r>
    </w:p>
    <w:p w14:paraId="45D05BCA" w14:textId="77777777" w:rsidR="00496804" w:rsidRDefault="0037359D">
      <w:pPr>
        <w:pStyle w:val="Odlomakpopisa"/>
        <w:numPr>
          <w:ilvl w:val="0"/>
          <w:numId w:val="12"/>
        </w:numPr>
        <w:spacing w:line="240" w:lineRule="auto"/>
        <w:ind w:left="426" w:hanging="284"/>
        <w:rPr>
          <w:rFonts w:ascii="Times New Roman" w:hAnsi="Times New Roman" w:cs="Times New Roman"/>
          <w:bCs/>
          <w:sz w:val="24"/>
        </w:rPr>
      </w:pPr>
      <w:r>
        <w:rPr>
          <w:rFonts w:ascii="Times New Roman" w:hAnsi="Times New Roman" w:cs="Times New Roman"/>
          <w:b w:val="0"/>
          <w:sz w:val="24"/>
        </w:rPr>
        <w:t>sportski i rekreacijski sadržaji:</w:t>
      </w:r>
      <w:r>
        <w:rPr>
          <w:rFonts w:ascii="Times New Roman" w:hAnsi="Times New Roman" w:cs="Times New Roman"/>
          <w:sz w:val="24"/>
        </w:rPr>
        <w:t xml:space="preserve"> </w:t>
      </w:r>
      <w:r>
        <w:rPr>
          <w:rFonts w:ascii="Times New Roman" w:hAnsi="Times New Roman" w:cs="Times New Roman"/>
          <w:b w:val="0"/>
          <w:sz w:val="24"/>
        </w:rPr>
        <w:t>bazen, ledena dvorana, plesna dvorana, sportski centar, sportska dvorana, sportski sadržaji, tematski park, teretana, vježbalište</w:t>
      </w:r>
    </w:p>
    <w:p w14:paraId="45D05BCB" w14:textId="51140CA1" w:rsidR="00496804" w:rsidRDefault="0037359D">
      <w:pPr>
        <w:pStyle w:val="Odlomakpopisa"/>
        <w:numPr>
          <w:ilvl w:val="0"/>
          <w:numId w:val="12"/>
        </w:numPr>
        <w:spacing w:line="240" w:lineRule="auto"/>
        <w:ind w:left="426" w:hanging="284"/>
        <w:rPr>
          <w:rFonts w:ascii="Times New Roman" w:hAnsi="Times New Roman" w:cs="Times New Roman"/>
          <w:b w:val="0"/>
          <w:bCs/>
          <w:sz w:val="24"/>
        </w:rPr>
      </w:pPr>
      <w:r>
        <w:rPr>
          <w:rFonts w:ascii="Times New Roman" w:hAnsi="Times New Roman" w:cs="Times New Roman"/>
          <w:b w:val="0"/>
          <w:sz w:val="24"/>
        </w:rPr>
        <w:t xml:space="preserve">sadržaji javnog zelenila </w:t>
      </w:r>
      <w:r>
        <w:rPr>
          <w:rFonts w:ascii="Times New Roman" w:hAnsi="Times New Roman" w:cs="Times New Roman"/>
          <w:b w:val="0"/>
          <w:bCs/>
          <w:sz w:val="24"/>
        </w:rPr>
        <w:t>dječje igralište, hortikulturno uređenje, park</w:t>
      </w:r>
    </w:p>
    <w:p w14:paraId="45D05BCC" w14:textId="53F18555" w:rsidR="00496804" w:rsidRDefault="0037359D">
      <w:pPr>
        <w:pStyle w:val="Odlomakpopisa"/>
        <w:numPr>
          <w:ilvl w:val="0"/>
          <w:numId w:val="12"/>
        </w:numPr>
        <w:spacing w:line="240" w:lineRule="auto"/>
        <w:ind w:left="426" w:hanging="284"/>
        <w:rPr>
          <w:rFonts w:ascii="Times New Roman" w:hAnsi="Times New Roman" w:cs="Times New Roman"/>
          <w:b w:val="0"/>
          <w:bCs/>
          <w:sz w:val="24"/>
        </w:rPr>
      </w:pPr>
      <w:r>
        <w:rPr>
          <w:rFonts w:ascii="Times New Roman" w:hAnsi="Times New Roman" w:cs="Times New Roman"/>
          <w:b w:val="0"/>
          <w:sz w:val="24"/>
        </w:rPr>
        <w:t xml:space="preserve">stambeni sadržaji </w:t>
      </w:r>
      <w:r>
        <w:rPr>
          <w:rFonts w:ascii="Times New Roman" w:hAnsi="Times New Roman" w:cs="Times New Roman"/>
          <w:b w:val="0"/>
          <w:bCs/>
          <w:sz w:val="24"/>
        </w:rPr>
        <w:t>stambene jedinice</w:t>
      </w:r>
    </w:p>
    <w:p w14:paraId="45D05BCD" w14:textId="7A0052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t>infrastrukturni sadržaji,</w:t>
      </w:r>
      <w:r>
        <w:rPr>
          <w:rFonts w:ascii="Times New Roman" w:hAnsi="Times New Roman" w:cs="Times New Roman"/>
          <w:b w:val="0"/>
          <w:bCs/>
          <w:sz w:val="24"/>
        </w:rPr>
        <w:t xml:space="preserve"> reciklažno dvorište.</w:t>
      </w:r>
    </w:p>
    <w:bookmarkEnd w:id="139"/>
    <w:p w14:paraId="45D05BD0" w14:textId="77777777" w:rsidR="00496804" w:rsidRDefault="0037359D">
      <w:pPr>
        <w:spacing w:line="240" w:lineRule="auto"/>
        <w:rPr>
          <w:rFonts w:ascii="Times New Roman" w:hAnsi="Times New Roman"/>
          <w:bCs/>
          <w:sz w:val="24"/>
        </w:rPr>
      </w:pPr>
      <w:r>
        <w:rPr>
          <w:rFonts w:ascii="Times New Roman" w:hAnsi="Times New Roman"/>
          <w:bCs/>
          <w:noProof/>
          <w:sz w:val="24"/>
          <w:lang w:eastAsia="hr-HR"/>
        </w:rPr>
        <w:lastRenderedPageBreak/>
        <w:drawing>
          <wp:inline distT="0" distB="0" distL="0" distR="0" wp14:anchorId="45D06213" wp14:editId="7E4663A1">
            <wp:extent cx="5178056" cy="31074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3" cstate="print"/>
                    <a:srcRect t="8887" r="19058" b="2011"/>
                    <a:stretch/>
                  </pic:blipFill>
                  <pic:spPr bwMode="auto">
                    <a:xfrm>
                      <a:off x="0" y="0"/>
                      <a:ext cx="5204406" cy="3123279"/>
                    </a:xfrm>
                    <a:prstGeom prst="rect">
                      <a:avLst/>
                    </a:prstGeom>
                    <a:ln>
                      <a:noFill/>
                    </a:ln>
                    <a:extLst>
                      <a:ext uri="{53640926-AAD7-44D8-BBD7-CCE9431645EC}">
                        <a14:shadowObscured xmlns:a14="http://schemas.microsoft.com/office/drawing/2010/main"/>
                      </a:ext>
                    </a:extLst>
                  </pic:spPr>
                </pic:pic>
              </a:graphicData>
            </a:graphic>
          </wp:inline>
        </w:drawing>
      </w:r>
    </w:p>
    <w:p w14:paraId="45D05BD1"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Slika 4. Pitanje br. 10 – Pregled predloženih sadržaja prema namjeni</w:t>
      </w:r>
    </w:p>
    <w:p w14:paraId="45D05BD2" w14:textId="77777777" w:rsidR="00496804" w:rsidRDefault="00496804">
      <w:pPr>
        <w:spacing w:line="240" w:lineRule="auto"/>
        <w:rPr>
          <w:rFonts w:ascii="Times New Roman" w:hAnsi="Times New Roman"/>
          <w:bCs/>
          <w:sz w:val="24"/>
        </w:rPr>
      </w:pPr>
    </w:p>
    <w:p w14:paraId="45D05BD3" w14:textId="13D113A0" w:rsidR="00496804" w:rsidRDefault="0037359D">
      <w:pPr>
        <w:spacing w:line="240" w:lineRule="auto"/>
        <w:rPr>
          <w:rFonts w:ascii="Times New Roman" w:hAnsi="Times New Roman"/>
          <w:sz w:val="24"/>
        </w:rPr>
      </w:pPr>
      <w:r>
        <w:rPr>
          <w:rFonts w:ascii="Times New Roman" w:hAnsi="Times New Roman"/>
          <w:sz w:val="24"/>
        </w:rPr>
        <w:t xml:space="preserve">Većinu navedenih sadržaja moguće je realizirati u postojećim nekorištenim prostorima i zgradama, što bi dovelo do pozitivnog trenda ponovnog korištenja prostora i zgrada. Veliki broj navedenih prostora i zgrada nalazi se u državnom vlasništvu. Kao primjer iznosimo podatak da je 31. </w:t>
      </w:r>
      <w:r w:rsidR="00621AB4">
        <w:rPr>
          <w:rFonts w:ascii="Times New Roman" w:hAnsi="Times New Roman"/>
          <w:sz w:val="24"/>
        </w:rPr>
        <w:t xml:space="preserve">prosinca </w:t>
      </w:r>
      <w:r>
        <w:rPr>
          <w:rFonts w:ascii="Times New Roman" w:hAnsi="Times New Roman"/>
          <w:sz w:val="24"/>
        </w:rPr>
        <w:t>.2018. godine na upravljanju Ministarstvu prostornoga uređenja, graditeljstva i državne imovine bilo 543 neperspektivne nekretnine građenih za vojnu namjenu. Strategija upravljanja državnom imovinom za razdoblje 2019. – 2025.</w:t>
      </w:r>
      <w:r>
        <w:rPr>
          <w:rStyle w:val="Referencafusnote"/>
          <w:rFonts w:ascii="Times New Roman" w:hAnsi="Times New Roman"/>
          <w:sz w:val="24"/>
        </w:rPr>
        <w:footnoteReference w:id="60"/>
      </w:r>
      <w:r>
        <w:rPr>
          <w:rFonts w:ascii="Times New Roman" w:hAnsi="Times New Roman"/>
          <w:sz w:val="24"/>
        </w:rPr>
        <w:t xml:space="preserve"> navedene nekretnine navodi kao moguće pokretače razvoja lokalne i područne (regionalne) samouprave, s naglaskom na model raspolaganja darovanjem jedinicama lokalne i područne </w:t>
      </w:r>
      <w:r w:rsidR="00621AB4">
        <w:rPr>
          <w:rFonts w:ascii="Times New Roman" w:hAnsi="Times New Roman"/>
          <w:sz w:val="24"/>
        </w:rPr>
        <w:t xml:space="preserve">(regionalne) </w:t>
      </w:r>
      <w:r>
        <w:rPr>
          <w:rFonts w:ascii="Times New Roman" w:hAnsi="Times New Roman"/>
          <w:sz w:val="24"/>
        </w:rPr>
        <w:t xml:space="preserve">samouprave te dodjelom na uporabu u svrhu provedbe gospodarskih, socijalnih, kulturnih, društvenih, sportsko-rekreacijskih i drugih javnih projekata jedinica lokalne i područne </w:t>
      </w:r>
      <w:r w:rsidR="00621AB4">
        <w:rPr>
          <w:rFonts w:ascii="Times New Roman" w:hAnsi="Times New Roman"/>
          <w:sz w:val="24"/>
        </w:rPr>
        <w:t xml:space="preserve">(regionalne) </w:t>
      </w:r>
      <w:r>
        <w:rPr>
          <w:rFonts w:ascii="Times New Roman" w:hAnsi="Times New Roman"/>
          <w:sz w:val="24"/>
        </w:rPr>
        <w:t>samouprave. Ovaj razvojni potencijal državne imovine mogao bi biti usmjeren prema strateškim razvojnim prioritetima kao što je kružno gospodarenje prostorom i zgradama.</w:t>
      </w:r>
    </w:p>
    <w:p w14:paraId="45D05BD4" w14:textId="77777777" w:rsidR="00496804" w:rsidRDefault="00496804">
      <w:pPr>
        <w:spacing w:line="240" w:lineRule="auto"/>
        <w:rPr>
          <w:rFonts w:ascii="Times New Roman" w:hAnsi="Times New Roman"/>
          <w:bCs/>
          <w:sz w:val="24"/>
        </w:rPr>
      </w:pPr>
    </w:p>
    <w:p w14:paraId="45D05BD5"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11. Okvirna prostorno – financijska procjena na osnovu odgovora br. 10</w:t>
      </w:r>
    </w:p>
    <w:tbl>
      <w:tblPr>
        <w:tblStyle w:val="Reetkatablice"/>
        <w:tblW w:w="9747" w:type="dxa"/>
        <w:tblBorders>
          <w:left w:val="none" w:sz="0" w:space="0" w:color="auto"/>
          <w:right w:val="none" w:sz="0" w:space="0" w:color="auto"/>
          <w:insideV w:val="none" w:sz="0" w:space="0" w:color="auto"/>
        </w:tblBorders>
        <w:tblLook w:val="04A0" w:firstRow="1" w:lastRow="0" w:firstColumn="1" w:lastColumn="0" w:noHBand="0" w:noVBand="1"/>
      </w:tblPr>
      <w:tblGrid>
        <w:gridCol w:w="1696"/>
        <w:gridCol w:w="709"/>
        <w:gridCol w:w="2126"/>
        <w:gridCol w:w="1276"/>
        <w:gridCol w:w="2126"/>
        <w:gridCol w:w="1814"/>
      </w:tblGrid>
      <w:tr w:rsidR="00496804" w14:paraId="45D05BE0" w14:textId="77777777">
        <w:trPr>
          <w:trHeight w:val="323"/>
        </w:trPr>
        <w:tc>
          <w:tcPr>
            <w:tcW w:w="1696" w:type="dxa"/>
            <w:shd w:val="clear" w:color="auto" w:fill="FFCCA6" w:themeFill="accent5" w:themeFillTint="66"/>
          </w:tcPr>
          <w:p w14:paraId="45D05BD6" w14:textId="77777777" w:rsidR="00496804" w:rsidRDefault="0037359D">
            <w:pPr>
              <w:spacing w:line="240" w:lineRule="auto"/>
              <w:rPr>
                <w:rFonts w:ascii="Times New Roman" w:hAnsi="Times New Roman"/>
                <w:b/>
                <w:sz w:val="24"/>
              </w:rPr>
            </w:pPr>
            <w:r>
              <w:rPr>
                <w:rFonts w:ascii="Times New Roman" w:hAnsi="Times New Roman"/>
                <w:b/>
                <w:sz w:val="24"/>
              </w:rPr>
              <w:t>Sadržaji</w:t>
            </w:r>
          </w:p>
        </w:tc>
        <w:tc>
          <w:tcPr>
            <w:tcW w:w="709" w:type="dxa"/>
            <w:shd w:val="clear" w:color="auto" w:fill="FFCCA6" w:themeFill="accent5" w:themeFillTint="66"/>
          </w:tcPr>
          <w:p w14:paraId="45D05BD7" w14:textId="77777777" w:rsidR="00496804" w:rsidRDefault="0037359D">
            <w:pPr>
              <w:spacing w:line="240" w:lineRule="auto"/>
              <w:jc w:val="center"/>
              <w:rPr>
                <w:rFonts w:ascii="Times New Roman" w:hAnsi="Times New Roman"/>
                <w:b/>
                <w:sz w:val="24"/>
              </w:rPr>
            </w:pPr>
            <w:r>
              <w:rPr>
                <w:rFonts w:ascii="Times New Roman" w:hAnsi="Times New Roman"/>
                <w:b/>
                <w:sz w:val="24"/>
              </w:rPr>
              <w:t>Broj</w:t>
            </w:r>
          </w:p>
        </w:tc>
        <w:tc>
          <w:tcPr>
            <w:tcW w:w="2126" w:type="dxa"/>
            <w:shd w:val="clear" w:color="auto" w:fill="FFCCA6" w:themeFill="accent5" w:themeFillTint="66"/>
          </w:tcPr>
          <w:p w14:paraId="45D05BD8"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Jedinična površina  </w:t>
            </w:r>
          </w:p>
          <w:p w14:paraId="45D05BD9" w14:textId="77777777" w:rsidR="00496804" w:rsidRDefault="0037359D">
            <w:pPr>
              <w:spacing w:line="240" w:lineRule="auto"/>
              <w:jc w:val="center"/>
              <w:rPr>
                <w:rFonts w:ascii="Times New Roman" w:hAnsi="Times New Roman"/>
                <w:b/>
                <w:sz w:val="24"/>
              </w:rPr>
            </w:pPr>
            <w:r>
              <w:rPr>
                <w:rFonts w:ascii="Times New Roman" w:hAnsi="Times New Roman"/>
                <w:b/>
                <w:sz w:val="24"/>
              </w:rPr>
              <w:t>(m</w:t>
            </w:r>
            <w:r>
              <w:rPr>
                <w:rFonts w:ascii="Times New Roman" w:hAnsi="Times New Roman"/>
                <w:b/>
                <w:sz w:val="24"/>
                <w:vertAlign w:val="superscript"/>
              </w:rPr>
              <w:t>2</w:t>
            </w:r>
            <w:r>
              <w:rPr>
                <w:rFonts w:ascii="Times New Roman" w:hAnsi="Times New Roman"/>
                <w:b/>
                <w:sz w:val="24"/>
              </w:rPr>
              <w:t>)</w:t>
            </w:r>
          </w:p>
        </w:tc>
        <w:tc>
          <w:tcPr>
            <w:tcW w:w="1276" w:type="dxa"/>
            <w:shd w:val="clear" w:color="auto" w:fill="FFCCA6" w:themeFill="accent5" w:themeFillTint="66"/>
          </w:tcPr>
          <w:p w14:paraId="45D05BDA" w14:textId="77777777" w:rsidR="00496804" w:rsidRDefault="0037359D">
            <w:pPr>
              <w:spacing w:line="240" w:lineRule="auto"/>
              <w:jc w:val="center"/>
              <w:rPr>
                <w:rFonts w:ascii="Times New Roman" w:hAnsi="Times New Roman"/>
                <w:b/>
                <w:sz w:val="24"/>
              </w:rPr>
            </w:pPr>
            <w:r>
              <w:rPr>
                <w:rFonts w:ascii="Times New Roman" w:hAnsi="Times New Roman"/>
                <w:b/>
                <w:sz w:val="24"/>
              </w:rPr>
              <w:t>Jedinična cijena</w:t>
            </w:r>
          </w:p>
          <w:p w14:paraId="45D05BDB" w14:textId="77777777" w:rsidR="00496804" w:rsidRDefault="0037359D">
            <w:pPr>
              <w:spacing w:line="240" w:lineRule="auto"/>
              <w:jc w:val="center"/>
              <w:rPr>
                <w:rFonts w:ascii="Times New Roman" w:hAnsi="Times New Roman"/>
                <w:b/>
                <w:sz w:val="24"/>
              </w:rPr>
            </w:pPr>
            <w:r>
              <w:rPr>
                <w:rFonts w:ascii="Times New Roman" w:hAnsi="Times New Roman"/>
                <w:b/>
                <w:sz w:val="24"/>
              </w:rPr>
              <w:t>(kn / m</w:t>
            </w:r>
            <w:r>
              <w:rPr>
                <w:rFonts w:ascii="Times New Roman" w:hAnsi="Times New Roman"/>
                <w:b/>
                <w:sz w:val="24"/>
                <w:vertAlign w:val="superscript"/>
              </w:rPr>
              <w:t>2</w:t>
            </w:r>
            <w:r>
              <w:rPr>
                <w:rFonts w:ascii="Times New Roman" w:hAnsi="Times New Roman"/>
                <w:b/>
                <w:sz w:val="24"/>
              </w:rPr>
              <w:t>)</w:t>
            </w:r>
          </w:p>
        </w:tc>
        <w:tc>
          <w:tcPr>
            <w:tcW w:w="2126" w:type="dxa"/>
            <w:shd w:val="clear" w:color="auto" w:fill="FFCCA6" w:themeFill="accent5" w:themeFillTint="66"/>
          </w:tcPr>
          <w:p w14:paraId="45D05BDC"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Površina </w:t>
            </w:r>
          </w:p>
          <w:p w14:paraId="45D05BDD" w14:textId="77777777" w:rsidR="00496804" w:rsidRDefault="0037359D">
            <w:pPr>
              <w:spacing w:line="240" w:lineRule="auto"/>
              <w:jc w:val="center"/>
              <w:rPr>
                <w:rFonts w:ascii="Times New Roman" w:hAnsi="Times New Roman"/>
                <w:b/>
                <w:sz w:val="24"/>
              </w:rPr>
            </w:pPr>
            <w:r>
              <w:rPr>
                <w:rFonts w:ascii="Times New Roman" w:hAnsi="Times New Roman"/>
                <w:b/>
                <w:sz w:val="24"/>
              </w:rPr>
              <w:t>(m</w:t>
            </w:r>
            <w:r>
              <w:rPr>
                <w:rFonts w:ascii="Times New Roman" w:hAnsi="Times New Roman"/>
                <w:b/>
                <w:sz w:val="24"/>
                <w:vertAlign w:val="superscript"/>
              </w:rPr>
              <w:t>2</w:t>
            </w:r>
            <w:r>
              <w:rPr>
                <w:rFonts w:ascii="Times New Roman" w:hAnsi="Times New Roman"/>
                <w:b/>
                <w:sz w:val="24"/>
              </w:rPr>
              <w:t>)</w:t>
            </w:r>
          </w:p>
        </w:tc>
        <w:tc>
          <w:tcPr>
            <w:tcW w:w="1814" w:type="dxa"/>
            <w:shd w:val="clear" w:color="auto" w:fill="FFCCA6" w:themeFill="accent5" w:themeFillTint="66"/>
          </w:tcPr>
          <w:p w14:paraId="45D05BDE"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Investicija  </w:t>
            </w:r>
          </w:p>
          <w:p w14:paraId="45D05BDF" w14:textId="77777777" w:rsidR="00496804" w:rsidRDefault="0037359D">
            <w:pPr>
              <w:spacing w:line="240" w:lineRule="auto"/>
              <w:jc w:val="center"/>
              <w:rPr>
                <w:rFonts w:ascii="Times New Roman" w:hAnsi="Times New Roman"/>
                <w:b/>
                <w:sz w:val="24"/>
              </w:rPr>
            </w:pPr>
            <w:r>
              <w:rPr>
                <w:rFonts w:ascii="Times New Roman" w:hAnsi="Times New Roman"/>
                <w:b/>
                <w:sz w:val="24"/>
              </w:rPr>
              <w:t>(000 kn)</w:t>
            </w:r>
          </w:p>
        </w:tc>
      </w:tr>
      <w:tr w:rsidR="00496804" w14:paraId="45D05BE7" w14:textId="77777777">
        <w:trPr>
          <w:trHeight w:val="171"/>
        </w:trPr>
        <w:tc>
          <w:tcPr>
            <w:tcW w:w="1696" w:type="dxa"/>
            <w:shd w:val="clear" w:color="auto" w:fill="FFCCA6" w:themeFill="accent5" w:themeFillTint="66"/>
          </w:tcPr>
          <w:p w14:paraId="45D05BE1"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javni i društveni </w:t>
            </w:r>
          </w:p>
        </w:tc>
        <w:tc>
          <w:tcPr>
            <w:tcW w:w="709" w:type="dxa"/>
          </w:tcPr>
          <w:p w14:paraId="45D05BE2" w14:textId="77777777" w:rsidR="00496804" w:rsidRDefault="0037359D">
            <w:pPr>
              <w:spacing w:line="240" w:lineRule="auto"/>
              <w:jc w:val="right"/>
              <w:rPr>
                <w:rFonts w:ascii="Times New Roman" w:hAnsi="Times New Roman"/>
                <w:bCs/>
                <w:sz w:val="24"/>
              </w:rPr>
            </w:pPr>
            <w:r>
              <w:rPr>
                <w:rFonts w:ascii="Times New Roman" w:hAnsi="Times New Roman"/>
                <w:bCs/>
                <w:sz w:val="24"/>
              </w:rPr>
              <w:t>38</w:t>
            </w:r>
          </w:p>
        </w:tc>
        <w:tc>
          <w:tcPr>
            <w:tcW w:w="2126" w:type="dxa"/>
          </w:tcPr>
          <w:p w14:paraId="45D05BE3"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BE4" w14:textId="77777777" w:rsidR="00496804" w:rsidRDefault="0037359D">
            <w:pPr>
              <w:spacing w:line="240" w:lineRule="auto"/>
              <w:jc w:val="center"/>
              <w:rPr>
                <w:rFonts w:ascii="Times New Roman" w:hAnsi="Times New Roman"/>
                <w:bCs/>
                <w:sz w:val="24"/>
              </w:rPr>
            </w:pPr>
            <w:r>
              <w:rPr>
                <w:rFonts w:ascii="Times New Roman" w:hAnsi="Times New Roman"/>
                <w:bCs/>
                <w:sz w:val="24"/>
              </w:rPr>
              <w:t>7.000</w:t>
            </w:r>
          </w:p>
        </w:tc>
        <w:tc>
          <w:tcPr>
            <w:tcW w:w="2126" w:type="dxa"/>
          </w:tcPr>
          <w:p w14:paraId="45D05BE5" w14:textId="77777777" w:rsidR="00496804" w:rsidRDefault="0037359D">
            <w:pPr>
              <w:spacing w:line="240" w:lineRule="auto"/>
              <w:jc w:val="center"/>
              <w:rPr>
                <w:rFonts w:ascii="Times New Roman" w:hAnsi="Times New Roman"/>
                <w:bCs/>
                <w:sz w:val="24"/>
              </w:rPr>
            </w:pPr>
            <w:r>
              <w:rPr>
                <w:rFonts w:ascii="Times New Roman" w:hAnsi="Times New Roman"/>
                <w:bCs/>
                <w:sz w:val="24"/>
              </w:rPr>
              <w:t>76.000</w:t>
            </w:r>
          </w:p>
        </w:tc>
        <w:tc>
          <w:tcPr>
            <w:tcW w:w="1814" w:type="dxa"/>
          </w:tcPr>
          <w:p w14:paraId="45D05BE6" w14:textId="77777777" w:rsidR="00496804" w:rsidRDefault="0037359D">
            <w:pPr>
              <w:spacing w:line="240" w:lineRule="auto"/>
              <w:jc w:val="center"/>
              <w:rPr>
                <w:rFonts w:ascii="Times New Roman" w:hAnsi="Times New Roman"/>
                <w:sz w:val="24"/>
              </w:rPr>
            </w:pPr>
            <w:r>
              <w:rPr>
                <w:rFonts w:ascii="Times New Roman" w:hAnsi="Times New Roman"/>
                <w:sz w:val="24"/>
              </w:rPr>
              <w:t>532.000</w:t>
            </w:r>
          </w:p>
        </w:tc>
      </w:tr>
      <w:tr w:rsidR="00496804" w14:paraId="45D05BEE" w14:textId="77777777">
        <w:trPr>
          <w:trHeight w:val="218"/>
        </w:trPr>
        <w:tc>
          <w:tcPr>
            <w:tcW w:w="1696" w:type="dxa"/>
            <w:shd w:val="clear" w:color="auto" w:fill="FFCCA6" w:themeFill="accent5" w:themeFillTint="66"/>
          </w:tcPr>
          <w:p w14:paraId="45D05BE8"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ugostiteljsko-turistički </w:t>
            </w:r>
          </w:p>
        </w:tc>
        <w:tc>
          <w:tcPr>
            <w:tcW w:w="709" w:type="dxa"/>
          </w:tcPr>
          <w:p w14:paraId="45D05BE9" w14:textId="77777777" w:rsidR="00496804" w:rsidRDefault="0037359D">
            <w:pPr>
              <w:spacing w:line="240" w:lineRule="auto"/>
              <w:jc w:val="right"/>
              <w:rPr>
                <w:rFonts w:ascii="Times New Roman" w:hAnsi="Times New Roman"/>
                <w:bCs/>
                <w:sz w:val="24"/>
              </w:rPr>
            </w:pPr>
            <w:r>
              <w:rPr>
                <w:rFonts w:ascii="Times New Roman" w:hAnsi="Times New Roman"/>
                <w:bCs/>
                <w:sz w:val="24"/>
              </w:rPr>
              <w:t>12</w:t>
            </w:r>
          </w:p>
        </w:tc>
        <w:tc>
          <w:tcPr>
            <w:tcW w:w="2126" w:type="dxa"/>
          </w:tcPr>
          <w:p w14:paraId="45D05BEA" w14:textId="77777777" w:rsidR="00496804" w:rsidRDefault="0037359D">
            <w:pPr>
              <w:spacing w:line="240" w:lineRule="auto"/>
              <w:jc w:val="center"/>
              <w:rPr>
                <w:rFonts w:ascii="Times New Roman" w:hAnsi="Times New Roman"/>
                <w:bCs/>
                <w:sz w:val="24"/>
              </w:rPr>
            </w:pPr>
            <w:r>
              <w:rPr>
                <w:rFonts w:ascii="Times New Roman" w:hAnsi="Times New Roman"/>
                <w:bCs/>
                <w:sz w:val="24"/>
              </w:rPr>
              <w:t>400</w:t>
            </w:r>
          </w:p>
        </w:tc>
        <w:tc>
          <w:tcPr>
            <w:tcW w:w="1276" w:type="dxa"/>
          </w:tcPr>
          <w:p w14:paraId="45D05BEB" w14:textId="77777777" w:rsidR="00496804" w:rsidRDefault="0037359D">
            <w:pPr>
              <w:spacing w:line="240" w:lineRule="auto"/>
              <w:jc w:val="center"/>
              <w:rPr>
                <w:rFonts w:ascii="Times New Roman" w:hAnsi="Times New Roman"/>
                <w:bCs/>
                <w:sz w:val="24"/>
              </w:rPr>
            </w:pPr>
            <w:r>
              <w:rPr>
                <w:rFonts w:ascii="Times New Roman" w:hAnsi="Times New Roman"/>
                <w:bCs/>
                <w:sz w:val="24"/>
              </w:rPr>
              <w:t>8.000</w:t>
            </w:r>
          </w:p>
        </w:tc>
        <w:tc>
          <w:tcPr>
            <w:tcW w:w="2126" w:type="dxa"/>
          </w:tcPr>
          <w:p w14:paraId="45D05BEC" w14:textId="77777777" w:rsidR="00496804" w:rsidRDefault="0037359D">
            <w:pPr>
              <w:spacing w:line="240" w:lineRule="auto"/>
              <w:jc w:val="center"/>
              <w:rPr>
                <w:rFonts w:ascii="Times New Roman" w:hAnsi="Times New Roman"/>
                <w:bCs/>
                <w:sz w:val="24"/>
              </w:rPr>
            </w:pPr>
            <w:r>
              <w:rPr>
                <w:rFonts w:ascii="Times New Roman" w:hAnsi="Times New Roman"/>
                <w:bCs/>
                <w:sz w:val="24"/>
              </w:rPr>
              <w:t>4.800</w:t>
            </w:r>
          </w:p>
        </w:tc>
        <w:tc>
          <w:tcPr>
            <w:tcW w:w="1814" w:type="dxa"/>
          </w:tcPr>
          <w:p w14:paraId="45D05BED" w14:textId="77777777" w:rsidR="00496804" w:rsidRDefault="0037359D">
            <w:pPr>
              <w:spacing w:line="240" w:lineRule="auto"/>
              <w:jc w:val="center"/>
              <w:rPr>
                <w:rFonts w:ascii="Times New Roman" w:hAnsi="Times New Roman"/>
                <w:sz w:val="24"/>
              </w:rPr>
            </w:pPr>
            <w:r>
              <w:rPr>
                <w:rFonts w:ascii="Times New Roman" w:hAnsi="Times New Roman"/>
                <w:sz w:val="24"/>
              </w:rPr>
              <w:t>38.400</w:t>
            </w:r>
          </w:p>
        </w:tc>
      </w:tr>
      <w:tr w:rsidR="00496804" w14:paraId="45D05BF5" w14:textId="77777777">
        <w:trPr>
          <w:trHeight w:val="250"/>
        </w:trPr>
        <w:tc>
          <w:tcPr>
            <w:tcW w:w="1696" w:type="dxa"/>
            <w:shd w:val="clear" w:color="auto" w:fill="FFCCA6" w:themeFill="accent5" w:themeFillTint="66"/>
          </w:tcPr>
          <w:p w14:paraId="45D05BEF"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gospodarski </w:t>
            </w:r>
          </w:p>
        </w:tc>
        <w:tc>
          <w:tcPr>
            <w:tcW w:w="709" w:type="dxa"/>
          </w:tcPr>
          <w:p w14:paraId="45D05BF0" w14:textId="77777777" w:rsidR="00496804" w:rsidRDefault="0037359D">
            <w:pPr>
              <w:spacing w:line="240" w:lineRule="auto"/>
              <w:jc w:val="right"/>
              <w:rPr>
                <w:rFonts w:ascii="Times New Roman" w:hAnsi="Times New Roman"/>
                <w:bCs/>
                <w:sz w:val="24"/>
              </w:rPr>
            </w:pPr>
            <w:r>
              <w:rPr>
                <w:rFonts w:ascii="Times New Roman" w:hAnsi="Times New Roman"/>
                <w:bCs/>
                <w:sz w:val="24"/>
              </w:rPr>
              <w:t>11</w:t>
            </w:r>
          </w:p>
        </w:tc>
        <w:tc>
          <w:tcPr>
            <w:tcW w:w="2126" w:type="dxa"/>
          </w:tcPr>
          <w:p w14:paraId="45D05BF1"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BF2" w14:textId="77777777" w:rsidR="00496804" w:rsidRDefault="0037359D">
            <w:pPr>
              <w:spacing w:line="240" w:lineRule="auto"/>
              <w:jc w:val="center"/>
              <w:rPr>
                <w:rFonts w:ascii="Times New Roman" w:hAnsi="Times New Roman"/>
                <w:bCs/>
                <w:sz w:val="24"/>
              </w:rPr>
            </w:pPr>
            <w:r>
              <w:rPr>
                <w:rFonts w:ascii="Times New Roman" w:hAnsi="Times New Roman"/>
                <w:bCs/>
                <w:sz w:val="24"/>
              </w:rPr>
              <w:t>6.000</w:t>
            </w:r>
          </w:p>
        </w:tc>
        <w:tc>
          <w:tcPr>
            <w:tcW w:w="2126" w:type="dxa"/>
          </w:tcPr>
          <w:p w14:paraId="45D05BF3" w14:textId="77777777" w:rsidR="00496804" w:rsidRDefault="0037359D">
            <w:pPr>
              <w:spacing w:line="240" w:lineRule="auto"/>
              <w:jc w:val="center"/>
              <w:rPr>
                <w:rFonts w:ascii="Times New Roman" w:hAnsi="Times New Roman"/>
                <w:bCs/>
                <w:sz w:val="24"/>
              </w:rPr>
            </w:pPr>
            <w:r>
              <w:rPr>
                <w:rFonts w:ascii="Times New Roman" w:hAnsi="Times New Roman"/>
                <w:bCs/>
                <w:sz w:val="24"/>
              </w:rPr>
              <w:t>22.000</w:t>
            </w:r>
          </w:p>
        </w:tc>
        <w:tc>
          <w:tcPr>
            <w:tcW w:w="1814" w:type="dxa"/>
          </w:tcPr>
          <w:p w14:paraId="45D05BF4" w14:textId="77777777" w:rsidR="00496804" w:rsidRDefault="0037359D">
            <w:pPr>
              <w:spacing w:line="240" w:lineRule="auto"/>
              <w:jc w:val="center"/>
              <w:rPr>
                <w:rFonts w:ascii="Times New Roman" w:hAnsi="Times New Roman"/>
                <w:sz w:val="24"/>
              </w:rPr>
            </w:pPr>
            <w:r>
              <w:rPr>
                <w:rFonts w:ascii="Times New Roman" w:hAnsi="Times New Roman"/>
                <w:sz w:val="24"/>
              </w:rPr>
              <w:t>132.000</w:t>
            </w:r>
          </w:p>
        </w:tc>
      </w:tr>
      <w:tr w:rsidR="00496804" w14:paraId="45D05BFC" w14:textId="77777777">
        <w:trPr>
          <w:trHeight w:val="139"/>
        </w:trPr>
        <w:tc>
          <w:tcPr>
            <w:tcW w:w="1696" w:type="dxa"/>
            <w:shd w:val="clear" w:color="auto" w:fill="FFCCA6" w:themeFill="accent5" w:themeFillTint="66"/>
          </w:tcPr>
          <w:p w14:paraId="45D05BF6" w14:textId="77777777" w:rsidR="00496804" w:rsidRDefault="0037359D">
            <w:pPr>
              <w:spacing w:line="240" w:lineRule="auto"/>
              <w:jc w:val="left"/>
              <w:rPr>
                <w:rFonts w:ascii="Times New Roman" w:hAnsi="Times New Roman"/>
                <w:bCs/>
                <w:sz w:val="24"/>
              </w:rPr>
            </w:pPr>
            <w:r>
              <w:rPr>
                <w:rFonts w:ascii="Times New Roman" w:hAnsi="Times New Roman"/>
                <w:bCs/>
                <w:sz w:val="24"/>
              </w:rPr>
              <w:t>sportski i rekreacijski</w:t>
            </w:r>
          </w:p>
        </w:tc>
        <w:tc>
          <w:tcPr>
            <w:tcW w:w="709" w:type="dxa"/>
          </w:tcPr>
          <w:p w14:paraId="45D05BF7" w14:textId="77777777" w:rsidR="00496804" w:rsidRDefault="0037359D">
            <w:pPr>
              <w:spacing w:line="240" w:lineRule="auto"/>
              <w:jc w:val="right"/>
              <w:rPr>
                <w:rFonts w:ascii="Times New Roman" w:hAnsi="Times New Roman"/>
                <w:bCs/>
                <w:sz w:val="24"/>
              </w:rPr>
            </w:pPr>
            <w:r>
              <w:rPr>
                <w:rFonts w:ascii="Times New Roman" w:hAnsi="Times New Roman"/>
                <w:bCs/>
                <w:sz w:val="24"/>
              </w:rPr>
              <w:t>9</w:t>
            </w:r>
          </w:p>
        </w:tc>
        <w:tc>
          <w:tcPr>
            <w:tcW w:w="2126" w:type="dxa"/>
          </w:tcPr>
          <w:p w14:paraId="45D05BF8"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276" w:type="dxa"/>
          </w:tcPr>
          <w:p w14:paraId="45D05BF9" w14:textId="77777777" w:rsidR="00496804" w:rsidRDefault="0037359D">
            <w:pPr>
              <w:spacing w:line="240" w:lineRule="auto"/>
              <w:jc w:val="center"/>
              <w:rPr>
                <w:rFonts w:ascii="Times New Roman" w:hAnsi="Times New Roman"/>
                <w:bCs/>
                <w:sz w:val="24"/>
              </w:rPr>
            </w:pPr>
            <w:r>
              <w:rPr>
                <w:rFonts w:ascii="Times New Roman" w:hAnsi="Times New Roman"/>
                <w:bCs/>
                <w:sz w:val="24"/>
              </w:rPr>
              <w:t>9.000</w:t>
            </w:r>
          </w:p>
        </w:tc>
        <w:tc>
          <w:tcPr>
            <w:tcW w:w="2126" w:type="dxa"/>
          </w:tcPr>
          <w:p w14:paraId="45D05BFA" w14:textId="77777777" w:rsidR="00496804" w:rsidRDefault="0037359D">
            <w:pPr>
              <w:spacing w:line="240" w:lineRule="auto"/>
              <w:jc w:val="center"/>
              <w:rPr>
                <w:rFonts w:ascii="Times New Roman" w:hAnsi="Times New Roman"/>
                <w:bCs/>
                <w:sz w:val="24"/>
              </w:rPr>
            </w:pPr>
            <w:r>
              <w:rPr>
                <w:rFonts w:ascii="Times New Roman" w:hAnsi="Times New Roman"/>
                <w:bCs/>
                <w:sz w:val="24"/>
              </w:rPr>
              <w:t>27.000</w:t>
            </w:r>
          </w:p>
        </w:tc>
        <w:tc>
          <w:tcPr>
            <w:tcW w:w="1814" w:type="dxa"/>
          </w:tcPr>
          <w:p w14:paraId="45D05BFB" w14:textId="77777777" w:rsidR="00496804" w:rsidRDefault="0037359D">
            <w:pPr>
              <w:spacing w:line="240" w:lineRule="auto"/>
              <w:jc w:val="center"/>
              <w:rPr>
                <w:rFonts w:ascii="Times New Roman" w:hAnsi="Times New Roman"/>
                <w:sz w:val="24"/>
              </w:rPr>
            </w:pPr>
            <w:r>
              <w:rPr>
                <w:rFonts w:ascii="Times New Roman" w:hAnsi="Times New Roman"/>
                <w:sz w:val="24"/>
              </w:rPr>
              <w:t>243.000</w:t>
            </w:r>
          </w:p>
        </w:tc>
      </w:tr>
      <w:tr w:rsidR="00496804" w14:paraId="45D05C03" w14:textId="77777777">
        <w:trPr>
          <w:trHeight w:val="186"/>
        </w:trPr>
        <w:tc>
          <w:tcPr>
            <w:tcW w:w="1696" w:type="dxa"/>
            <w:shd w:val="clear" w:color="auto" w:fill="FFCCA6" w:themeFill="accent5" w:themeFillTint="66"/>
          </w:tcPr>
          <w:p w14:paraId="45D05BFD" w14:textId="77777777" w:rsidR="00496804" w:rsidRDefault="0037359D">
            <w:pPr>
              <w:spacing w:line="240" w:lineRule="auto"/>
              <w:jc w:val="left"/>
              <w:rPr>
                <w:rFonts w:ascii="Times New Roman" w:hAnsi="Times New Roman"/>
                <w:bCs/>
                <w:sz w:val="24"/>
              </w:rPr>
            </w:pPr>
            <w:r>
              <w:rPr>
                <w:rFonts w:ascii="Times New Roman" w:hAnsi="Times New Roman"/>
                <w:bCs/>
                <w:sz w:val="24"/>
              </w:rPr>
              <w:t>javno zelenilo</w:t>
            </w:r>
          </w:p>
        </w:tc>
        <w:tc>
          <w:tcPr>
            <w:tcW w:w="709" w:type="dxa"/>
          </w:tcPr>
          <w:p w14:paraId="45D05BFE" w14:textId="77777777" w:rsidR="00496804" w:rsidRDefault="0037359D">
            <w:pPr>
              <w:spacing w:line="240" w:lineRule="auto"/>
              <w:jc w:val="right"/>
              <w:rPr>
                <w:rFonts w:ascii="Times New Roman" w:hAnsi="Times New Roman"/>
                <w:bCs/>
                <w:sz w:val="24"/>
              </w:rPr>
            </w:pPr>
            <w:r>
              <w:rPr>
                <w:rFonts w:ascii="Times New Roman" w:hAnsi="Times New Roman"/>
                <w:bCs/>
                <w:sz w:val="24"/>
              </w:rPr>
              <w:t>3</w:t>
            </w:r>
          </w:p>
        </w:tc>
        <w:tc>
          <w:tcPr>
            <w:tcW w:w="2126" w:type="dxa"/>
          </w:tcPr>
          <w:p w14:paraId="45D05BFF" w14:textId="77777777" w:rsidR="00496804" w:rsidRDefault="0037359D">
            <w:pPr>
              <w:spacing w:line="240" w:lineRule="auto"/>
              <w:jc w:val="center"/>
              <w:rPr>
                <w:rFonts w:ascii="Times New Roman" w:hAnsi="Times New Roman"/>
                <w:bCs/>
                <w:sz w:val="24"/>
              </w:rPr>
            </w:pPr>
            <w:r>
              <w:rPr>
                <w:rFonts w:ascii="Times New Roman" w:hAnsi="Times New Roman"/>
                <w:bCs/>
                <w:sz w:val="24"/>
              </w:rPr>
              <w:t>5.000</w:t>
            </w:r>
          </w:p>
        </w:tc>
        <w:tc>
          <w:tcPr>
            <w:tcW w:w="1276" w:type="dxa"/>
          </w:tcPr>
          <w:p w14:paraId="45D05C00" w14:textId="77777777" w:rsidR="00496804" w:rsidRDefault="0037359D">
            <w:pPr>
              <w:spacing w:line="240" w:lineRule="auto"/>
              <w:jc w:val="center"/>
              <w:rPr>
                <w:rFonts w:ascii="Times New Roman" w:hAnsi="Times New Roman"/>
                <w:bCs/>
                <w:sz w:val="24"/>
              </w:rPr>
            </w:pPr>
            <w:r>
              <w:rPr>
                <w:rFonts w:ascii="Times New Roman" w:hAnsi="Times New Roman"/>
                <w:bCs/>
                <w:sz w:val="24"/>
              </w:rPr>
              <w:t>1.500</w:t>
            </w:r>
          </w:p>
        </w:tc>
        <w:tc>
          <w:tcPr>
            <w:tcW w:w="2126" w:type="dxa"/>
          </w:tcPr>
          <w:p w14:paraId="45D05C01" w14:textId="77777777" w:rsidR="00496804" w:rsidRDefault="0037359D">
            <w:pPr>
              <w:spacing w:line="240" w:lineRule="auto"/>
              <w:jc w:val="center"/>
              <w:rPr>
                <w:rFonts w:ascii="Times New Roman" w:hAnsi="Times New Roman"/>
                <w:bCs/>
                <w:sz w:val="24"/>
              </w:rPr>
            </w:pPr>
            <w:r>
              <w:rPr>
                <w:rFonts w:ascii="Times New Roman" w:hAnsi="Times New Roman"/>
                <w:bCs/>
                <w:sz w:val="24"/>
              </w:rPr>
              <w:t>15.000</w:t>
            </w:r>
          </w:p>
        </w:tc>
        <w:tc>
          <w:tcPr>
            <w:tcW w:w="1814" w:type="dxa"/>
          </w:tcPr>
          <w:p w14:paraId="45D05C02" w14:textId="77777777" w:rsidR="00496804" w:rsidRDefault="0037359D">
            <w:pPr>
              <w:spacing w:line="240" w:lineRule="auto"/>
              <w:jc w:val="center"/>
              <w:rPr>
                <w:rFonts w:ascii="Times New Roman" w:hAnsi="Times New Roman"/>
                <w:sz w:val="24"/>
              </w:rPr>
            </w:pPr>
            <w:r>
              <w:rPr>
                <w:rFonts w:ascii="Times New Roman" w:hAnsi="Times New Roman"/>
                <w:sz w:val="24"/>
              </w:rPr>
              <w:t>22.500</w:t>
            </w:r>
          </w:p>
        </w:tc>
      </w:tr>
      <w:tr w:rsidR="00496804" w14:paraId="45D05C0A" w14:textId="77777777">
        <w:trPr>
          <w:trHeight w:val="203"/>
        </w:trPr>
        <w:tc>
          <w:tcPr>
            <w:tcW w:w="1696" w:type="dxa"/>
            <w:shd w:val="clear" w:color="auto" w:fill="FFCCA6" w:themeFill="accent5" w:themeFillTint="66"/>
          </w:tcPr>
          <w:p w14:paraId="45D05C04"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stambeni </w:t>
            </w:r>
          </w:p>
        </w:tc>
        <w:tc>
          <w:tcPr>
            <w:tcW w:w="709" w:type="dxa"/>
          </w:tcPr>
          <w:p w14:paraId="45D05C05" w14:textId="77777777" w:rsidR="00496804" w:rsidRDefault="0037359D">
            <w:pPr>
              <w:spacing w:line="240" w:lineRule="auto"/>
              <w:jc w:val="right"/>
              <w:rPr>
                <w:rFonts w:ascii="Times New Roman" w:hAnsi="Times New Roman"/>
                <w:bCs/>
                <w:sz w:val="24"/>
              </w:rPr>
            </w:pPr>
            <w:r>
              <w:rPr>
                <w:rFonts w:ascii="Times New Roman" w:hAnsi="Times New Roman"/>
                <w:bCs/>
                <w:sz w:val="24"/>
              </w:rPr>
              <w:t>1</w:t>
            </w:r>
          </w:p>
        </w:tc>
        <w:tc>
          <w:tcPr>
            <w:tcW w:w="2126" w:type="dxa"/>
          </w:tcPr>
          <w:p w14:paraId="45D05C06"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276" w:type="dxa"/>
          </w:tcPr>
          <w:p w14:paraId="45D05C07" w14:textId="77777777" w:rsidR="00496804" w:rsidRDefault="0037359D">
            <w:pPr>
              <w:spacing w:line="240" w:lineRule="auto"/>
              <w:jc w:val="center"/>
              <w:rPr>
                <w:rFonts w:ascii="Times New Roman" w:hAnsi="Times New Roman"/>
                <w:bCs/>
                <w:sz w:val="24"/>
              </w:rPr>
            </w:pPr>
            <w:r>
              <w:rPr>
                <w:rFonts w:ascii="Times New Roman" w:hAnsi="Times New Roman"/>
                <w:bCs/>
                <w:sz w:val="24"/>
              </w:rPr>
              <w:t>6.000</w:t>
            </w:r>
          </w:p>
        </w:tc>
        <w:tc>
          <w:tcPr>
            <w:tcW w:w="2126" w:type="dxa"/>
          </w:tcPr>
          <w:p w14:paraId="45D05C08"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814" w:type="dxa"/>
          </w:tcPr>
          <w:p w14:paraId="45D05C09" w14:textId="77777777" w:rsidR="00496804" w:rsidRDefault="0037359D">
            <w:pPr>
              <w:spacing w:line="240" w:lineRule="auto"/>
              <w:jc w:val="center"/>
              <w:rPr>
                <w:rFonts w:ascii="Times New Roman" w:hAnsi="Times New Roman"/>
                <w:sz w:val="24"/>
              </w:rPr>
            </w:pPr>
            <w:r>
              <w:rPr>
                <w:rFonts w:ascii="Times New Roman" w:hAnsi="Times New Roman"/>
                <w:sz w:val="24"/>
              </w:rPr>
              <w:t>18.000</w:t>
            </w:r>
          </w:p>
        </w:tc>
      </w:tr>
      <w:tr w:rsidR="00496804" w14:paraId="45D05C11" w14:textId="77777777">
        <w:trPr>
          <w:trHeight w:val="250"/>
        </w:trPr>
        <w:tc>
          <w:tcPr>
            <w:tcW w:w="1696" w:type="dxa"/>
            <w:shd w:val="clear" w:color="auto" w:fill="FFCCA6" w:themeFill="accent5" w:themeFillTint="66"/>
          </w:tcPr>
          <w:p w14:paraId="45D05C0B"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infrastrukturni </w:t>
            </w:r>
          </w:p>
        </w:tc>
        <w:tc>
          <w:tcPr>
            <w:tcW w:w="709" w:type="dxa"/>
          </w:tcPr>
          <w:p w14:paraId="45D05C0C" w14:textId="77777777" w:rsidR="00496804" w:rsidRDefault="0037359D">
            <w:pPr>
              <w:spacing w:line="240" w:lineRule="auto"/>
              <w:jc w:val="right"/>
              <w:rPr>
                <w:rFonts w:ascii="Times New Roman" w:hAnsi="Times New Roman"/>
                <w:bCs/>
                <w:sz w:val="24"/>
              </w:rPr>
            </w:pPr>
            <w:r>
              <w:rPr>
                <w:rFonts w:ascii="Times New Roman" w:hAnsi="Times New Roman"/>
                <w:bCs/>
                <w:sz w:val="24"/>
              </w:rPr>
              <w:t>1</w:t>
            </w:r>
          </w:p>
        </w:tc>
        <w:tc>
          <w:tcPr>
            <w:tcW w:w="2126" w:type="dxa"/>
          </w:tcPr>
          <w:p w14:paraId="45D05C0D"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C0E" w14:textId="77777777" w:rsidR="00496804" w:rsidRDefault="0037359D">
            <w:pPr>
              <w:spacing w:line="240" w:lineRule="auto"/>
              <w:jc w:val="center"/>
              <w:rPr>
                <w:rFonts w:ascii="Times New Roman" w:hAnsi="Times New Roman"/>
                <w:bCs/>
                <w:sz w:val="24"/>
              </w:rPr>
            </w:pPr>
            <w:r>
              <w:rPr>
                <w:rFonts w:ascii="Times New Roman" w:hAnsi="Times New Roman"/>
                <w:bCs/>
                <w:sz w:val="24"/>
              </w:rPr>
              <w:t>1.000</w:t>
            </w:r>
          </w:p>
        </w:tc>
        <w:tc>
          <w:tcPr>
            <w:tcW w:w="2126" w:type="dxa"/>
          </w:tcPr>
          <w:p w14:paraId="45D05C0F"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814" w:type="dxa"/>
          </w:tcPr>
          <w:p w14:paraId="45D05C10" w14:textId="77777777" w:rsidR="00496804" w:rsidRDefault="0037359D">
            <w:pPr>
              <w:spacing w:line="240" w:lineRule="auto"/>
              <w:jc w:val="center"/>
              <w:rPr>
                <w:rFonts w:ascii="Times New Roman" w:hAnsi="Times New Roman"/>
                <w:sz w:val="24"/>
              </w:rPr>
            </w:pPr>
            <w:r>
              <w:rPr>
                <w:rFonts w:ascii="Times New Roman" w:hAnsi="Times New Roman"/>
                <w:sz w:val="24"/>
              </w:rPr>
              <w:t>2.000</w:t>
            </w:r>
          </w:p>
        </w:tc>
      </w:tr>
      <w:tr w:rsidR="00496804" w14:paraId="45D05C18" w14:textId="77777777">
        <w:trPr>
          <w:trHeight w:val="125"/>
        </w:trPr>
        <w:tc>
          <w:tcPr>
            <w:tcW w:w="1696" w:type="dxa"/>
            <w:shd w:val="clear" w:color="auto" w:fill="FFCCA6" w:themeFill="accent5" w:themeFillTint="66"/>
          </w:tcPr>
          <w:p w14:paraId="45D05C12" w14:textId="77777777" w:rsidR="00496804" w:rsidRDefault="0037359D">
            <w:pPr>
              <w:spacing w:line="240" w:lineRule="auto"/>
              <w:rPr>
                <w:rFonts w:ascii="Times New Roman" w:hAnsi="Times New Roman"/>
                <w:b/>
                <w:sz w:val="24"/>
              </w:rPr>
            </w:pPr>
            <w:r>
              <w:rPr>
                <w:rFonts w:ascii="Times New Roman" w:hAnsi="Times New Roman"/>
                <w:b/>
                <w:sz w:val="24"/>
              </w:rPr>
              <w:lastRenderedPageBreak/>
              <w:t>UKUPNO</w:t>
            </w:r>
          </w:p>
        </w:tc>
        <w:tc>
          <w:tcPr>
            <w:tcW w:w="709" w:type="dxa"/>
          </w:tcPr>
          <w:p w14:paraId="45D05C13" w14:textId="77777777" w:rsidR="00496804" w:rsidRDefault="0037359D">
            <w:pPr>
              <w:spacing w:line="240" w:lineRule="auto"/>
              <w:jc w:val="right"/>
              <w:rPr>
                <w:rFonts w:ascii="Times New Roman" w:hAnsi="Times New Roman"/>
                <w:b/>
                <w:sz w:val="24"/>
              </w:rPr>
            </w:pPr>
            <w:r>
              <w:rPr>
                <w:rFonts w:ascii="Times New Roman" w:hAnsi="Times New Roman"/>
                <w:b/>
                <w:sz w:val="24"/>
              </w:rPr>
              <w:t>75</w:t>
            </w:r>
          </w:p>
        </w:tc>
        <w:tc>
          <w:tcPr>
            <w:tcW w:w="2126" w:type="dxa"/>
          </w:tcPr>
          <w:p w14:paraId="45D05C14" w14:textId="77777777" w:rsidR="00496804" w:rsidRDefault="00496804">
            <w:pPr>
              <w:spacing w:line="240" w:lineRule="auto"/>
              <w:jc w:val="center"/>
              <w:rPr>
                <w:rFonts w:ascii="Times New Roman" w:hAnsi="Times New Roman"/>
                <w:b/>
                <w:sz w:val="24"/>
              </w:rPr>
            </w:pPr>
          </w:p>
        </w:tc>
        <w:tc>
          <w:tcPr>
            <w:tcW w:w="1276" w:type="dxa"/>
          </w:tcPr>
          <w:p w14:paraId="45D05C15" w14:textId="77777777" w:rsidR="00496804" w:rsidRDefault="00496804">
            <w:pPr>
              <w:spacing w:line="240" w:lineRule="auto"/>
              <w:jc w:val="center"/>
              <w:rPr>
                <w:rFonts w:ascii="Times New Roman" w:hAnsi="Times New Roman"/>
                <w:b/>
                <w:sz w:val="24"/>
              </w:rPr>
            </w:pPr>
          </w:p>
        </w:tc>
        <w:tc>
          <w:tcPr>
            <w:tcW w:w="2126" w:type="dxa"/>
          </w:tcPr>
          <w:p w14:paraId="45D05C16" w14:textId="77777777" w:rsidR="00496804" w:rsidRDefault="0037359D">
            <w:pPr>
              <w:spacing w:line="240" w:lineRule="auto"/>
              <w:jc w:val="center"/>
              <w:rPr>
                <w:rFonts w:ascii="Times New Roman" w:hAnsi="Times New Roman"/>
                <w:b/>
                <w:sz w:val="24"/>
              </w:rPr>
            </w:pPr>
            <w:r>
              <w:rPr>
                <w:rFonts w:ascii="Times New Roman" w:hAnsi="Times New Roman"/>
                <w:b/>
                <w:sz w:val="24"/>
              </w:rPr>
              <w:t>149.800</w:t>
            </w:r>
          </w:p>
        </w:tc>
        <w:tc>
          <w:tcPr>
            <w:tcW w:w="1814" w:type="dxa"/>
          </w:tcPr>
          <w:p w14:paraId="45D05C17"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987.900</w:t>
            </w:r>
          </w:p>
        </w:tc>
      </w:tr>
    </w:tbl>
    <w:p w14:paraId="45D05C1A" w14:textId="56EAA0E3" w:rsidR="00496804" w:rsidRDefault="0037359D">
      <w:pPr>
        <w:spacing w:line="240" w:lineRule="auto"/>
        <w:rPr>
          <w:rFonts w:ascii="Times New Roman" w:hAnsi="Times New Roman"/>
          <w:sz w:val="24"/>
        </w:rPr>
      </w:pPr>
      <w:r>
        <w:rPr>
          <w:rFonts w:ascii="Times New Roman" w:hAnsi="Times New Roman"/>
          <w:sz w:val="24"/>
        </w:rPr>
        <w:t>Temeljem anketnog uzorka koji se sastoji od 61 grada i 81 općine, kojima pripada 1.531.362 stanovnika RH, što predstavlja 35,74% od ukupnog broja stanovništva (4.284.889) RH prema popisu stanovništva iz 2011. godine. Ukoliko se potreba za dodatnim sadržajem, temeljem anketnog uzorka od 35,74% stanovništva RH proporcionalno projicira na puni broj stanovništva;  149.800 m</w:t>
      </w:r>
      <w:r>
        <w:rPr>
          <w:rFonts w:ascii="Times New Roman" w:hAnsi="Times New Roman"/>
          <w:sz w:val="24"/>
          <w:vertAlign w:val="superscript"/>
        </w:rPr>
        <w:t>2</w:t>
      </w:r>
      <w:r>
        <w:rPr>
          <w:rFonts w:ascii="Times New Roman" w:hAnsi="Times New Roman"/>
          <w:sz w:val="24"/>
        </w:rPr>
        <w:t xml:space="preserve"> x 1/0,3574= 419.153 m</w:t>
      </w:r>
      <w:r>
        <w:rPr>
          <w:rFonts w:ascii="Times New Roman" w:hAnsi="Times New Roman"/>
          <w:sz w:val="24"/>
          <w:vertAlign w:val="superscript"/>
        </w:rPr>
        <w:t>2</w:t>
      </w:r>
      <w:r>
        <w:rPr>
          <w:rFonts w:ascii="Times New Roman" w:hAnsi="Times New Roman"/>
          <w:sz w:val="24"/>
        </w:rPr>
        <w:t xml:space="preserve">, može se izvesti zaključak da na prostoru RH postoji potreba </w:t>
      </w:r>
      <w:r>
        <w:rPr>
          <w:rFonts w:ascii="Times New Roman" w:hAnsi="Times New Roman"/>
          <w:bCs/>
          <w:sz w:val="24"/>
        </w:rPr>
        <w:t>za 419.153 m</w:t>
      </w:r>
      <w:r>
        <w:rPr>
          <w:rFonts w:ascii="Times New Roman" w:hAnsi="Times New Roman"/>
          <w:bCs/>
          <w:sz w:val="24"/>
          <w:vertAlign w:val="superscript"/>
        </w:rPr>
        <w:t>2</w:t>
      </w:r>
      <w:r>
        <w:rPr>
          <w:rFonts w:ascii="Times New Roman" w:hAnsi="Times New Roman"/>
          <w:sz w:val="24"/>
          <w:vertAlign w:val="superscript"/>
        </w:rPr>
        <w:t xml:space="preserve"> </w:t>
      </w:r>
      <w:r>
        <w:rPr>
          <w:rFonts w:ascii="Times New Roman" w:hAnsi="Times New Roman"/>
          <w:sz w:val="24"/>
        </w:rPr>
        <w:t xml:space="preserve">raznih sadržaja, ukupne investicijske vrijednosti </w:t>
      </w:r>
      <w:r>
        <w:rPr>
          <w:rFonts w:ascii="Times New Roman" w:hAnsi="Times New Roman"/>
          <w:bCs/>
          <w:sz w:val="24"/>
        </w:rPr>
        <w:t>2.764.233.300 k</w:t>
      </w:r>
      <w:r w:rsidR="00621AB4">
        <w:rPr>
          <w:rFonts w:ascii="Times New Roman" w:hAnsi="Times New Roman"/>
          <w:bCs/>
          <w:sz w:val="24"/>
        </w:rPr>
        <w:t>u</w:t>
      </w:r>
      <w:r>
        <w:rPr>
          <w:rFonts w:ascii="Times New Roman" w:hAnsi="Times New Roman"/>
          <w:bCs/>
          <w:sz w:val="24"/>
        </w:rPr>
        <w:t>n</w:t>
      </w:r>
      <w:r w:rsidR="00621AB4">
        <w:rPr>
          <w:rFonts w:ascii="Times New Roman" w:hAnsi="Times New Roman"/>
          <w:bCs/>
          <w:sz w:val="24"/>
        </w:rPr>
        <w:t>a,</w:t>
      </w:r>
      <w:r>
        <w:rPr>
          <w:rFonts w:ascii="Times New Roman" w:hAnsi="Times New Roman"/>
          <w:sz w:val="24"/>
        </w:rPr>
        <w:t xml:space="preserve"> koji bi se mogli ostvariti revitalizacijom nekorištenih postojećih prostora i zgrada (izračunato temeljem srednje cijena troškova građevinskih radova koja iznosi 6.594 kn/m</w:t>
      </w:r>
      <w:r>
        <w:rPr>
          <w:rFonts w:ascii="Times New Roman" w:hAnsi="Times New Roman"/>
          <w:sz w:val="24"/>
          <w:vertAlign w:val="superscript"/>
        </w:rPr>
        <w:t>2</w:t>
      </w:r>
      <w:r>
        <w:rPr>
          <w:rFonts w:ascii="Times New Roman" w:hAnsi="Times New Roman"/>
          <w:sz w:val="24"/>
        </w:rPr>
        <w:t>).</w:t>
      </w:r>
    </w:p>
    <w:p w14:paraId="45D05C1B" w14:textId="77777777" w:rsidR="00496804" w:rsidRDefault="00496804">
      <w:pPr>
        <w:spacing w:line="240" w:lineRule="auto"/>
        <w:rPr>
          <w:rFonts w:ascii="Times New Roman" w:hAnsi="Times New Roman"/>
          <w:sz w:val="24"/>
        </w:rPr>
      </w:pPr>
    </w:p>
    <w:p w14:paraId="45D05C1C" w14:textId="77777777" w:rsidR="00496804" w:rsidRDefault="0037359D">
      <w:pPr>
        <w:spacing w:line="240" w:lineRule="auto"/>
        <w:rPr>
          <w:rFonts w:ascii="Times New Roman" w:hAnsi="Times New Roman"/>
          <w:sz w:val="24"/>
        </w:rPr>
      </w:pPr>
      <w:r>
        <w:rPr>
          <w:rFonts w:ascii="Times New Roman" w:hAnsi="Times New Roman"/>
          <w:sz w:val="24"/>
        </w:rPr>
        <w:t>Zaključci anketnog upitnika su:</w:t>
      </w:r>
    </w:p>
    <w:p w14:paraId="45D05C1D"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upoznatost ispitanika s temom kružnog gospodarstva je na srednjoj razini</w:t>
      </w:r>
    </w:p>
    <w:p w14:paraId="45D05C1E"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mogućnost primjene i interes za kružno gospodarenje je pozitivno ocijenjen</w:t>
      </w:r>
    </w:p>
    <w:p w14:paraId="45D05C1F"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poznat je mali broj aktualnih projekata (28) vezanih na temu kružnog gospodarstva</w:t>
      </w:r>
    </w:p>
    <w:p w14:paraId="45D05C20" w14:textId="5A1AA0D3"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interes za uključivanje u provedbu ovog</w:t>
      </w:r>
      <w:r w:rsidR="00BE10A6">
        <w:rPr>
          <w:rFonts w:ascii="Times New Roman" w:hAnsi="Times New Roman" w:cs="Times New Roman"/>
          <w:b w:val="0"/>
          <w:bCs/>
          <w:sz w:val="24"/>
        </w:rPr>
        <w:t>a</w:t>
      </w:r>
      <w:r>
        <w:rPr>
          <w:rFonts w:ascii="Times New Roman" w:hAnsi="Times New Roman" w:cs="Times New Roman"/>
          <w:b w:val="0"/>
          <w:bCs/>
          <w:sz w:val="24"/>
        </w:rPr>
        <w:t xml:space="preserve"> Programa je značajan (73,24%)</w:t>
      </w:r>
    </w:p>
    <w:p w14:paraId="45D05C21" w14:textId="022B1469"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postoji velik broj sadržaja koji nedostaju, a mogli bi se ostvariti unutar postojećih napuštenih građevina po ovom Programu (okvirna procjena 419.153 m</w:t>
      </w:r>
      <w:r>
        <w:rPr>
          <w:rFonts w:ascii="Times New Roman" w:hAnsi="Times New Roman" w:cs="Times New Roman"/>
          <w:b w:val="0"/>
          <w:bCs/>
          <w:sz w:val="24"/>
          <w:vertAlign w:val="superscript"/>
        </w:rPr>
        <w:t>2</w:t>
      </w:r>
      <w:r>
        <w:rPr>
          <w:rFonts w:ascii="Times New Roman" w:hAnsi="Times New Roman" w:cs="Times New Roman"/>
          <w:b w:val="0"/>
          <w:bCs/>
          <w:sz w:val="24"/>
        </w:rPr>
        <w:t>).</w:t>
      </w:r>
    </w:p>
    <w:p w14:paraId="45D05C22" w14:textId="77777777" w:rsidR="00496804" w:rsidRDefault="00496804">
      <w:pPr>
        <w:spacing w:line="240" w:lineRule="auto"/>
        <w:rPr>
          <w:rFonts w:ascii="Times New Roman" w:hAnsi="Times New Roman"/>
          <w:bCs/>
          <w:sz w:val="24"/>
        </w:rPr>
      </w:pPr>
    </w:p>
    <w:p w14:paraId="45D05C23" w14:textId="77777777" w:rsidR="00496804" w:rsidRDefault="0037359D">
      <w:pPr>
        <w:spacing w:line="240" w:lineRule="auto"/>
        <w:rPr>
          <w:rFonts w:ascii="Times New Roman" w:hAnsi="Times New Roman"/>
          <w:bCs/>
          <w:sz w:val="24"/>
        </w:rPr>
      </w:pPr>
      <w:r>
        <w:rPr>
          <w:rFonts w:ascii="Times New Roman" w:hAnsi="Times New Roman"/>
          <w:bCs/>
          <w:sz w:val="24"/>
        </w:rPr>
        <w:t xml:space="preserve">Anketni upitnik je ukazao na značajan interes i mogućnosti primjene kružnog gospodarenja prostorom i zgradama od strane JLS-a, ali i na njihovu nedovoljnu upućenost u tematiku kružnog gospodarenja. </w:t>
      </w:r>
    </w:p>
    <w:p w14:paraId="45D05C24" w14:textId="77777777" w:rsidR="00496804" w:rsidRDefault="00496804">
      <w:pPr>
        <w:spacing w:line="240" w:lineRule="auto"/>
        <w:rPr>
          <w:rFonts w:ascii="Times New Roman" w:hAnsi="Times New Roman"/>
          <w:bCs/>
          <w:sz w:val="24"/>
        </w:rPr>
      </w:pPr>
    </w:p>
    <w:p w14:paraId="45D05C25" w14:textId="77777777" w:rsidR="00496804" w:rsidRDefault="0037359D">
      <w:pPr>
        <w:spacing w:line="240" w:lineRule="auto"/>
        <w:rPr>
          <w:rFonts w:ascii="Times New Roman" w:hAnsi="Times New Roman"/>
          <w:bCs/>
          <w:sz w:val="24"/>
        </w:rPr>
      </w:pPr>
      <w:r>
        <w:rPr>
          <w:rFonts w:ascii="Times New Roman" w:hAnsi="Times New Roman"/>
          <w:bCs/>
          <w:sz w:val="24"/>
        </w:rPr>
        <w:t>Kako bi se osiguralo što kvalitetnije provođenje</w:t>
      </w:r>
      <w:r>
        <w:rPr>
          <w:rFonts w:ascii="Times New Roman" w:hAnsi="Times New Roman"/>
          <w:bCs/>
          <w:i/>
          <w:sz w:val="24"/>
        </w:rPr>
        <w:t xml:space="preserve"> </w:t>
      </w:r>
      <w:r>
        <w:rPr>
          <w:rFonts w:ascii="Times New Roman" w:hAnsi="Times New Roman"/>
          <w:bCs/>
          <w:sz w:val="24"/>
        </w:rPr>
        <w:t xml:space="preserve">Programa razvoja KG, potrebno je provesti dodatnu edukaciju svih dionika, organizirati niz radionica s dionicima u svrhu prepoznavanja mogućnosti, potencijala i prepreka kružnog gospodarenja. Temeljem navedenih aktivnosti mogu se pokrenuti izrade studija izvedivosti za pojedine lokacije (Pilot projekti) koje će uzeti u obzir društveno-ekonomsku korist projekta. Javno i transparentno planiranje, provedba i praćenje provedbe pilot projekata te njihova promocija imat će veliki značaj za popularizaciju teme kružnog gospodarenja prostorom i zgradama u </w:t>
      </w:r>
      <w:r>
        <w:rPr>
          <w:rFonts w:ascii="Times New Roman" w:hAnsi="Times New Roman"/>
          <w:sz w:val="24"/>
        </w:rPr>
        <w:t>RH</w:t>
      </w:r>
      <w:r>
        <w:rPr>
          <w:rFonts w:ascii="Times New Roman" w:hAnsi="Times New Roman"/>
          <w:bCs/>
          <w:sz w:val="24"/>
        </w:rPr>
        <w:t>.</w:t>
      </w:r>
    </w:p>
    <w:p w14:paraId="45D05C26" w14:textId="77777777" w:rsidR="00496804" w:rsidRDefault="00496804">
      <w:pPr>
        <w:spacing w:line="240" w:lineRule="auto"/>
        <w:rPr>
          <w:rFonts w:ascii="Times New Roman" w:hAnsi="Times New Roman"/>
          <w:bCs/>
          <w:sz w:val="24"/>
        </w:rPr>
      </w:pPr>
    </w:p>
    <w:p w14:paraId="45D05C27" w14:textId="77777777" w:rsidR="00496804" w:rsidRDefault="0037359D">
      <w:pPr>
        <w:pStyle w:val="Naslov3"/>
        <w:rPr>
          <w:rFonts w:ascii="Times New Roman" w:eastAsia="Times New Roman" w:hAnsi="Times New Roman" w:cs="Times New Roman"/>
          <w:bCs w:val="0"/>
          <w:color w:val="auto"/>
          <w:spacing w:val="0"/>
          <w:sz w:val="24"/>
          <w:szCs w:val="24"/>
          <w:lang w:eastAsia="en-GB"/>
        </w:rPr>
      </w:pPr>
      <w:bookmarkStart w:id="140" w:name="_Toc51851640"/>
      <w:r>
        <w:rPr>
          <w:rFonts w:ascii="Times New Roman" w:eastAsia="Times New Roman" w:hAnsi="Times New Roman" w:cs="Times New Roman"/>
          <w:bCs w:val="0"/>
          <w:color w:val="auto"/>
          <w:spacing w:val="0"/>
          <w:sz w:val="24"/>
          <w:szCs w:val="24"/>
          <w:lang w:eastAsia="en-GB"/>
        </w:rPr>
        <w:t>Interdisciplinarna radionica</w:t>
      </w:r>
      <w:bookmarkEnd w:id="140"/>
    </w:p>
    <w:p w14:paraId="45D05C28" w14:textId="77777777" w:rsidR="00496804" w:rsidRDefault="00496804">
      <w:pPr>
        <w:spacing w:line="240" w:lineRule="auto"/>
        <w:rPr>
          <w:rFonts w:ascii="Times New Roman" w:hAnsi="Times New Roman"/>
          <w:sz w:val="24"/>
          <w:lang w:eastAsia="hr-HR"/>
        </w:rPr>
      </w:pPr>
    </w:p>
    <w:p w14:paraId="45D05C29" w14:textId="77777777" w:rsidR="00496804" w:rsidRDefault="0037359D">
      <w:pPr>
        <w:spacing w:line="240" w:lineRule="auto"/>
        <w:rPr>
          <w:rFonts w:ascii="Times New Roman" w:hAnsi="Times New Roman"/>
          <w:bCs/>
          <w:sz w:val="24"/>
        </w:rPr>
      </w:pPr>
      <w:bookmarkStart w:id="141" w:name="_Hlk30762623"/>
      <w:r>
        <w:rPr>
          <w:rFonts w:ascii="Times New Roman" w:hAnsi="Times New Roman"/>
          <w:bCs/>
          <w:sz w:val="24"/>
        </w:rPr>
        <w:t xml:space="preserve">Kako bi se potaknula razmjena podataka, iskustava te potakla daljnja suradnja između dionika, u studenom 2019. godine je održana interdisciplinarna radionica na kojoj su sudjelovali predstavnici JLP(R)S-a, javnog i privatnog sektora, akademske zajednice, investitori, developeri, </w:t>
      </w:r>
      <w:r>
        <w:rPr>
          <w:rFonts w:ascii="Times New Roman" w:hAnsi="Times New Roman"/>
          <w:sz w:val="24"/>
        </w:rPr>
        <w:t>poduzeća iz energetskog sektora, energetske učinkovitosti i zelene gradnje, izvođači i proizvođači opreme i materijala, bankarske, financijske i konzultantske institucije</w:t>
      </w:r>
      <w:r>
        <w:rPr>
          <w:rFonts w:ascii="Times New Roman" w:hAnsi="Times New Roman"/>
          <w:bCs/>
          <w:sz w:val="24"/>
        </w:rPr>
        <w:t xml:space="preserve">. U stručnoj raspravi izneseni su sljedeći zaključci: </w:t>
      </w:r>
    </w:p>
    <w:bookmarkEnd w:id="141"/>
    <w:p w14:paraId="45D05C2A"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postoji velika mogućnost primjene kružnog gospodarenja prostorom i zgradama, gotovo svaki grad ima značajne kapacitete napuštenih prostora i zgrada, a također i potrebe za novim sadržajima (pogotovo kod većih gradova)</w:t>
      </w:r>
    </w:p>
    <w:p w14:paraId="45D05C2B"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neriješeni imovinsko-pravni odnosi mogu biti prepreka u realizaciji, potrebno je definirati interese i mehanizme koji omogućuju njihovo razrješavanje</w:t>
      </w:r>
    </w:p>
    <w:p w14:paraId="45D05C2C" w14:textId="1CABD3DE"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 xml:space="preserve">potkapacitiranost tijela JLP(R)S otežava pravovremenu provedbu novih </w:t>
      </w:r>
      <w:r w:rsidR="00310782">
        <w:rPr>
          <w:rFonts w:ascii="Times New Roman" w:hAnsi="Times New Roman" w:cs="Times New Roman"/>
          <w:b w:val="0"/>
          <w:sz w:val="24"/>
        </w:rPr>
        <w:t>„</w:t>
      </w:r>
      <w:r>
        <w:rPr>
          <w:rFonts w:ascii="Times New Roman" w:hAnsi="Times New Roman" w:cs="Times New Roman"/>
          <w:b w:val="0"/>
          <w:sz w:val="24"/>
        </w:rPr>
        <w:t>poticaja i programa</w:t>
      </w:r>
      <w:r w:rsidR="00310782">
        <w:rPr>
          <w:rFonts w:ascii="Times New Roman" w:hAnsi="Times New Roman" w:cs="Times New Roman"/>
          <w:b w:val="0"/>
          <w:sz w:val="24"/>
        </w:rPr>
        <w:t>“</w:t>
      </w:r>
    </w:p>
    <w:p w14:paraId="45D05C2D"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nedovoljno razvijena regionalna i lokalna mreža gospodarenja otpadom</w:t>
      </w:r>
    </w:p>
    <w:p w14:paraId="45D05C2E"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nedovoljna uključenost privatnog sektora</w:t>
      </w:r>
    </w:p>
    <w:p w14:paraId="45D05C2F"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u manjim gradovima i općinama postoji nedostatak kvalitetnih udruga građana koje bi bile uključene.</w:t>
      </w:r>
    </w:p>
    <w:p w14:paraId="45D05C30" w14:textId="77777777" w:rsidR="00496804" w:rsidRDefault="00496804">
      <w:pPr>
        <w:spacing w:line="240" w:lineRule="auto"/>
        <w:rPr>
          <w:rFonts w:ascii="Times New Roman" w:hAnsi="Times New Roman"/>
          <w:bCs/>
          <w:sz w:val="24"/>
        </w:rPr>
      </w:pPr>
    </w:p>
    <w:p w14:paraId="45D05C31" w14:textId="77777777" w:rsidR="00496804" w:rsidRDefault="0037359D">
      <w:pPr>
        <w:spacing w:line="240" w:lineRule="auto"/>
        <w:rPr>
          <w:rFonts w:ascii="Times New Roman" w:hAnsi="Times New Roman"/>
          <w:bCs/>
          <w:sz w:val="24"/>
        </w:rPr>
      </w:pPr>
      <w:r>
        <w:rPr>
          <w:rFonts w:ascii="Times New Roman" w:hAnsi="Times New Roman"/>
          <w:bCs/>
          <w:sz w:val="24"/>
        </w:rPr>
        <w:lastRenderedPageBreak/>
        <w:t>Navedeni zaključci donekle potvrđuju zaključke anketnog upitnika, a dodatno skreću pozornost na tematiku imovinsko-pravnih odnosa, nedovoljnu uključenost privatnog sektora i udruga građana. Od navedenih zaključaka posebno se naglašava važnost uključivanja privatnog sektora. Intenzivna uloga privatnog sektora u kružnom gospodarenju prostorom i zgradama osigurava ekonomsku održivost projekta. U svrhu poticaja uključivanja privatnog sektora u kružno gospodarenje prostorom i zgradama bilo bi korisno osmisliti dodatne gospodarske mjere i poticaje. Privatni sektor se može uključiti u cijelom nizu različitih uloga unutar kružnog gospodarenja prostorom i zgradama, u ulozi voditelja projekata, izvođača građevnih radova, investitora, planiranja, proizvodnje građevnih materijala i proizvoda, u ulozi gospodarenja građevnim otpadom i njegovom oporabom.</w:t>
      </w:r>
    </w:p>
    <w:p w14:paraId="45D05C32" w14:textId="77777777" w:rsidR="00496804" w:rsidRDefault="00496804">
      <w:pPr>
        <w:spacing w:line="240" w:lineRule="auto"/>
        <w:rPr>
          <w:rFonts w:ascii="Times New Roman" w:hAnsi="Times New Roman"/>
          <w:bCs/>
          <w:sz w:val="24"/>
        </w:rPr>
      </w:pPr>
    </w:p>
    <w:p w14:paraId="45D05C33" w14:textId="77777777" w:rsidR="00496804" w:rsidRDefault="0037359D">
      <w:pPr>
        <w:pStyle w:val="Naslov2"/>
        <w:ind w:left="426" w:hanging="426"/>
        <w:rPr>
          <w:rFonts w:ascii="Times New Roman" w:hAnsi="Times New Roman" w:cs="Times New Roman"/>
          <w:color w:val="auto"/>
          <w:sz w:val="24"/>
          <w:szCs w:val="24"/>
        </w:rPr>
      </w:pPr>
      <w:bookmarkStart w:id="142" w:name="_Toc51851641"/>
      <w:r>
        <w:rPr>
          <w:rFonts w:ascii="Times New Roman" w:hAnsi="Times New Roman" w:cs="Times New Roman"/>
          <w:color w:val="auto"/>
          <w:sz w:val="24"/>
          <w:szCs w:val="24"/>
        </w:rPr>
        <w:t>PREGLED ELEMENATA DRŽAVNIH POTPORA</w:t>
      </w:r>
      <w:bookmarkEnd w:id="142"/>
      <w:r>
        <w:rPr>
          <w:rFonts w:ascii="Times New Roman" w:hAnsi="Times New Roman" w:cs="Times New Roman"/>
          <w:color w:val="auto"/>
          <w:sz w:val="24"/>
          <w:szCs w:val="24"/>
        </w:rPr>
        <w:t xml:space="preserve"> </w:t>
      </w:r>
    </w:p>
    <w:p w14:paraId="45D05C34" w14:textId="77777777" w:rsidR="00496804" w:rsidRDefault="00496804">
      <w:pPr>
        <w:spacing w:line="240" w:lineRule="auto"/>
        <w:rPr>
          <w:rFonts w:ascii="Times New Roman" w:hAnsi="Times New Roman"/>
          <w:bCs/>
          <w:sz w:val="24"/>
        </w:rPr>
      </w:pPr>
    </w:p>
    <w:p w14:paraId="45D05C35" w14:textId="3B27659B" w:rsidR="00496804" w:rsidRDefault="0037359D">
      <w:pPr>
        <w:spacing w:after="240" w:line="240" w:lineRule="auto"/>
        <w:rPr>
          <w:rFonts w:ascii="Times New Roman" w:hAnsi="Times New Roman"/>
          <w:bCs/>
          <w:sz w:val="24"/>
        </w:rPr>
      </w:pPr>
      <w:r>
        <w:rPr>
          <w:rFonts w:ascii="Times New Roman" w:hAnsi="Times New Roman"/>
          <w:bCs/>
          <w:sz w:val="24"/>
        </w:rPr>
        <w:t>Projekte kružnog gospodarenja prostorom i zgradama potrebno je sagledati u odnosu na elemente državnih potpora i potpora male vrijednosti (de minimis potpora)</w:t>
      </w:r>
      <w:r w:rsidR="002424A6" w:rsidRPr="002424A6">
        <w:rPr>
          <w:rFonts w:ascii="Times New Roman" w:hAnsi="Times New Roman"/>
          <w:bCs/>
          <w:sz w:val="24"/>
        </w:rPr>
        <w:t xml:space="preserve"> </w:t>
      </w:r>
      <w:r w:rsidR="002424A6" w:rsidRPr="00684FDC">
        <w:rPr>
          <w:rFonts w:ascii="Times New Roman" w:hAnsi="Times New Roman"/>
          <w:bCs/>
          <w:sz w:val="24"/>
        </w:rPr>
        <w:t>te za potrebe provedbe projekata izraditi Program državnih potpora</w:t>
      </w:r>
      <w:r>
        <w:rPr>
          <w:rFonts w:ascii="Times New Roman" w:hAnsi="Times New Roman"/>
          <w:bCs/>
          <w:sz w:val="24"/>
        </w:rPr>
        <w:t>.</w:t>
      </w:r>
    </w:p>
    <w:p w14:paraId="45D05C36" w14:textId="25B43E3F" w:rsidR="00496804" w:rsidRDefault="0037359D">
      <w:pPr>
        <w:spacing w:line="240" w:lineRule="auto"/>
        <w:rPr>
          <w:rFonts w:ascii="Times New Roman" w:hAnsi="Times New Roman"/>
          <w:bCs/>
          <w:sz w:val="24"/>
        </w:rPr>
      </w:pPr>
      <w:r>
        <w:rPr>
          <w:rFonts w:ascii="Times New Roman" w:hAnsi="Times New Roman"/>
          <w:bCs/>
          <w:sz w:val="24"/>
        </w:rPr>
        <w:t>U skladu s člankom 107. stav</w:t>
      </w:r>
      <w:r w:rsidR="00AA1A47">
        <w:rPr>
          <w:rFonts w:ascii="Times New Roman" w:hAnsi="Times New Roman"/>
          <w:bCs/>
          <w:sz w:val="24"/>
        </w:rPr>
        <w:t>k</w:t>
      </w:r>
      <w:r w:rsidR="00A810F6">
        <w:rPr>
          <w:rFonts w:ascii="Times New Roman" w:hAnsi="Times New Roman"/>
          <w:bCs/>
          <w:sz w:val="24"/>
        </w:rPr>
        <w:t>om</w:t>
      </w:r>
      <w:r>
        <w:rPr>
          <w:rFonts w:ascii="Times New Roman" w:hAnsi="Times New Roman"/>
          <w:bCs/>
          <w:sz w:val="24"/>
        </w:rPr>
        <w:t xml:space="preserve"> 1. Ugovora o funkcioniranju Europske unije </w:t>
      </w:r>
      <w:r w:rsidR="00523F53">
        <w:rPr>
          <w:rFonts w:ascii="Times New Roman" w:hAnsi="Times New Roman"/>
          <w:bCs/>
          <w:sz w:val="24"/>
        </w:rPr>
        <w:t xml:space="preserve">(SL </w:t>
      </w:r>
      <w:r w:rsidR="00523F53" w:rsidRPr="00E245E5">
        <w:rPr>
          <w:rFonts w:ascii="Times New Roman" w:hAnsi="Times New Roman"/>
          <w:bCs/>
          <w:sz w:val="24"/>
        </w:rPr>
        <w:t>C 202/1</w:t>
      </w:r>
      <w:r w:rsidR="00523F53">
        <w:rPr>
          <w:rFonts w:ascii="Times New Roman" w:hAnsi="Times New Roman"/>
          <w:bCs/>
          <w:sz w:val="24"/>
        </w:rPr>
        <w:t xml:space="preserve">, </w:t>
      </w:r>
      <w:r w:rsidR="00523F53" w:rsidRPr="00EA67C2">
        <w:rPr>
          <w:rFonts w:ascii="Times New Roman" w:hAnsi="Times New Roman"/>
          <w:bCs/>
          <w:sz w:val="24"/>
        </w:rPr>
        <w:t>7.6.2016</w:t>
      </w:r>
      <w:r w:rsidR="00523F53">
        <w:rPr>
          <w:rFonts w:ascii="Times New Roman" w:hAnsi="Times New Roman"/>
          <w:bCs/>
          <w:sz w:val="24"/>
        </w:rPr>
        <w:t>.)</w:t>
      </w:r>
      <w:r w:rsidR="00523F53">
        <w:rPr>
          <w:rStyle w:val="Referencafusnote"/>
          <w:rFonts w:ascii="Times New Roman" w:hAnsi="Times New Roman"/>
          <w:bCs/>
          <w:sz w:val="24"/>
        </w:rPr>
        <w:footnoteReference w:id="61"/>
      </w:r>
      <w:r w:rsidR="00523F53">
        <w:rPr>
          <w:rFonts w:ascii="Times New Roman" w:hAnsi="Times New Roman"/>
          <w:bCs/>
          <w:sz w:val="24"/>
        </w:rPr>
        <w:t xml:space="preserve"> </w:t>
      </w:r>
      <w:r>
        <w:rPr>
          <w:rFonts w:ascii="Times New Roman" w:hAnsi="Times New Roman"/>
          <w:bCs/>
          <w:sz w:val="24"/>
        </w:rPr>
        <w:t>(UFEU), svaka potpora koju daje država članica ili koja je dana putem državnih sredstava u bilo kojem obliku koji narušava ili prijeti narušavanjem tržišnog natjecanja stavljajući u povoljniji položaj određene poduzetnike ili proizvodnju određenih roba, nespojiva je sa zajedničkim tržištem ukoliko utječe na trgovinu između država članica. Dakle, mjerom koja sadrži državnu potporu u smislu gore navedene odredbe UFEU, smatra se mjera koja kumulativno ispunjava sljedeće kriterije:</w:t>
      </w:r>
    </w:p>
    <w:p w14:paraId="45D05C37" w14:textId="12F07AEB"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 xml:space="preserve">mjera se financira iz državnih sredstava ili se ta sredstva mogu pripisati državi. Pod državnim sredstvima smatraju se, kako sredstva iz državnog proračuna države članice, tako i ona iz EU fondova, proračuna jedinica lokalne i </w:t>
      </w:r>
      <w:r w:rsidR="00A810F6">
        <w:rPr>
          <w:rFonts w:ascii="Times New Roman" w:hAnsi="Times New Roman" w:cs="Times New Roman"/>
          <w:b w:val="0"/>
          <w:sz w:val="24"/>
        </w:rPr>
        <w:t>područne (</w:t>
      </w:r>
      <w:r>
        <w:rPr>
          <w:rFonts w:ascii="Times New Roman" w:hAnsi="Times New Roman" w:cs="Times New Roman"/>
          <w:b w:val="0"/>
          <w:sz w:val="24"/>
        </w:rPr>
        <w:t>regionalne</w:t>
      </w:r>
      <w:r w:rsidR="00A810F6">
        <w:rPr>
          <w:rFonts w:ascii="Times New Roman" w:hAnsi="Times New Roman" w:cs="Times New Roman"/>
          <w:b w:val="0"/>
          <w:sz w:val="24"/>
        </w:rPr>
        <w:t>)</w:t>
      </w:r>
      <w:r>
        <w:rPr>
          <w:rFonts w:ascii="Times New Roman" w:hAnsi="Times New Roman" w:cs="Times New Roman"/>
          <w:b w:val="0"/>
          <w:sz w:val="24"/>
        </w:rPr>
        <w:t xml:space="preserve"> samouprave, državnih agencija ili državnih trgovačkih društava koja raspolažu državnim sredstvima; za postojanje državne potpore nije važan organizacijski ili pravni oblik korisnika, nego je važna priroda i način obavljanja određene aktivnosti</w:t>
      </w:r>
    </w:p>
    <w:p w14:paraId="45D05C38" w14:textId="77777777"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mjera pruža ekonomsku prednost određenom proizvodu, poduzetniku, sektoru ili regiji, koju oni ne bi ostvarili u normalnim tržišnim uvjetima; ovdje se ocjenjuje učinak mjere na poduzetnika, a ne svrha i cilj državne intervencije. Relevantan je jedino učinak mjere na poduzetnika, a ne uzrok ili cilj intervencije države. Prednost je prisutna kad god se financijska situacija poduzetnika poboljša kao rezultat intervencije države u uvjetima koji se razlikuju od uobičajenih tržišnih uvjeta. Da bi se to procijenilo, financijsku situaciju poduzetnika nakon uvođenja mjere treba usporediti s financijskom situacijom u kojoj bi bio da mjera nije poduzeta</w:t>
      </w:r>
    </w:p>
    <w:p w14:paraId="45D05C39" w14:textId="77777777"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mjera je selektivna jer narušava ravnotežu između primatelja državne potpore i njegove konkurencije. Selektivnost je element koji upućuje da se radi o državnoj potpori, a ne o općoj mjeri ekonomske politike koja se primjenjuje na sve poduzetnike u svim ekonomskim sektorima u određenoj državi članici</w:t>
      </w:r>
    </w:p>
    <w:p w14:paraId="45D05C3A" w14:textId="77777777" w:rsidR="00496804" w:rsidRDefault="0037359D">
      <w:pPr>
        <w:pStyle w:val="Odlomakpopisa"/>
        <w:numPr>
          <w:ilvl w:val="0"/>
          <w:numId w:val="15"/>
        </w:numPr>
        <w:spacing w:after="240" w:line="240" w:lineRule="auto"/>
        <w:ind w:left="426" w:hanging="284"/>
        <w:rPr>
          <w:rFonts w:ascii="Times New Roman" w:hAnsi="Times New Roman" w:cs="Times New Roman"/>
          <w:b w:val="0"/>
          <w:sz w:val="24"/>
        </w:rPr>
      </w:pPr>
      <w:r>
        <w:rPr>
          <w:rFonts w:ascii="Times New Roman" w:hAnsi="Times New Roman" w:cs="Times New Roman"/>
          <w:b w:val="0"/>
          <w:sz w:val="24"/>
        </w:rPr>
        <w:t>mjera narušava tržišno natjecanje i utječe na trgovinu među državama članicama - narušavanje konkurencije i utjecaj transfera državnih sredstava ispunjeno je ako korisnik poticaja obavlja ekonomsku aktivnost i to na tržištu (određenih proizvoda i usluga) na kojem već postoji trgovina ili je izvjesno da je moguća trgovina između država članica.</w:t>
      </w:r>
    </w:p>
    <w:p w14:paraId="3DEFEA5B" w14:textId="7662CAED" w:rsidR="00245471" w:rsidRDefault="004907A5" w:rsidP="00FE1160">
      <w:pPr>
        <w:spacing w:after="240" w:line="240" w:lineRule="auto"/>
        <w:rPr>
          <w:rFonts w:ascii="Times New Roman" w:hAnsi="Times New Roman"/>
          <w:sz w:val="24"/>
        </w:rPr>
      </w:pPr>
      <w:r w:rsidRPr="005034B9">
        <w:rPr>
          <w:rFonts w:ascii="Times New Roman" w:hAnsi="Times New Roman"/>
          <w:sz w:val="24"/>
        </w:rPr>
        <w:t xml:space="preserve">Program državnih potpora je pravni akt na temelju kojeg se, bez potrebe za dodatnim provedbenim mjerama, unaprijed neodređenim korisnicima državne potpore dodjeljuju državne potpore, kao i pravni akt na temelju kojeg se državna potpora koja unaprijed nije vezana uz poseban projekt </w:t>
      </w:r>
      <w:r w:rsidRPr="005034B9">
        <w:rPr>
          <w:rFonts w:ascii="Times New Roman" w:hAnsi="Times New Roman"/>
          <w:sz w:val="24"/>
        </w:rPr>
        <w:lastRenderedPageBreak/>
        <w:t>dodjeljuje jednom ili više korisnika državne potpore na neodređeno vrijeme i/ili u neodređenom iznosu.</w:t>
      </w:r>
    </w:p>
    <w:p w14:paraId="5AC6AF19"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Program državnih potpora mora sadržavati najmanje sljedeće stavke:</w:t>
      </w:r>
    </w:p>
    <w:p w14:paraId="13382628"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naziv programa i davatelja državnih potpora</w:t>
      </w:r>
    </w:p>
    <w:p w14:paraId="6C1C785D"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pravni temelj za donošenje programa</w:t>
      </w:r>
    </w:p>
    <w:p w14:paraId="1B426B98"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korisnici državnih potpora</w:t>
      </w:r>
    </w:p>
    <w:p w14:paraId="5E265798"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instrument državne potpore</w:t>
      </w:r>
    </w:p>
    <w:p w14:paraId="7FFB56F4"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kategorija državne potpore</w:t>
      </w:r>
    </w:p>
    <w:p w14:paraId="6843CEB1"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intenzitet i opravdani troškovi</w:t>
      </w:r>
    </w:p>
    <w:p w14:paraId="0C5D467A"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iznos i izvori sredstava</w:t>
      </w:r>
    </w:p>
    <w:p w14:paraId="7165788E"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trajanje programa</w:t>
      </w:r>
    </w:p>
    <w:p w14:paraId="5CCECF4D" w14:textId="77777777" w:rsidR="004A2AF9" w:rsidRPr="005034B9" w:rsidRDefault="004A2AF9" w:rsidP="004A2AF9">
      <w:pPr>
        <w:spacing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učinak poticaja</w:t>
      </w:r>
    </w:p>
    <w:p w14:paraId="04F3B696" w14:textId="77777777" w:rsidR="004A2AF9" w:rsidRPr="00E14603" w:rsidRDefault="004A2AF9" w:rsidP="004A2AF9">
      <w:pPr>
        <w:spacing w:after="240" w:line="240" w:lineRule="auto"/>
        <w:ind w:left="142"/>
        <w:rPr>
          <w:rFonts w:ascii="Times New Roman" w:hAnsi="Times New Roman"/>
          <w:sz w:val="24"/>
        </w:rPr>
      </w:pPr>
      <w:r w:rsidRPr="005034B9">
        <w:rPr>
          <w:rFonts w:ascii="Times New Roman" w:hAnsi="Times New Roman"/>
          <w:sz w:val="24"/>
        </w:rPr>
        <w:t>•</w:t>
      </w:r>
      <w:r w:rsidRPr="005034B9">
        <w:rPr>
          <w:rFonts w:ascii="Times New Roman" w:hAnsi="Times New Roman"/>
          <w:sz w:val="24"/>
        </w:rPr>
        <w:tab/>
        <w:t>odredbe o zbrajanju državnih potpora.</w:t>
      </w:r>
    </w:p>
    <w:p w14:paraId="470FED91" w14:textId="25170E9D" w:rsidR="004907A5" w:rsidRDefault="0080282A" w:rsidP="00FE1160">
      <w:pPr>
        <w:spacing w:after="240" w:line="240" w:lineRule="auto"/>
        <w:rPr>
          <w:rFonts w:ascii="Times New Roman" w:hAnsi="Times New Roman"/>
          <w:bCs/>
          <w:sz w:val="24"/>
        </w:rPr>
      </w:pPr>
      <w:r w:rsidRPr="00C374EC">
        <w:rPr>
          <w:rFonts w:ascii="Times New Roman" w:hAnsi="Times New Roman"/>
          <w:bCs/>
          <w:sz w:val="24"/>
        </w:rPr>
        <w:t>U dokumentu Obavijest Komisije o pojmu državne potpore iz članka 107. stavka 1. Ugovora o funkcioniranju Europske unije (SL C 262/1, 19.7.2016.)</w:t>
      </w:r>
      <w:r w:rsidRPr="00C374EC">
        <w:rPr>
          <w:rStyle w:val="Referencafusnote"/>
          <w:rFonts w:ascii="Times New Roman" w:hAnsi="Times New Roman"/>
          <w:bCs/>
          <w:sz w:val="24"/>
        </w:rPr>
        <w:footnoteReference w:id="62"/>
      </w:r>
      <w:r w:rsidRPr="00C374EC">
        <w:rPr>
          <w:rFonts w:ascii="Times New Roman" w:hAnsi="Times New Roman"/>
          <w:bCs/>
          <w:sz w:val="24"/>
        </w:rPr>
        <w:t xml:space="preserve">, u poglavlju </w:t>
      </w:r>
      <w:r w:rsidRPr="00C374EC">
        <w:rPr>
          <w:rFonts w:ascii="Times New Roman" w:hAnsi="Times New Roman"/>
          <w:bCs/>
          <w:i/>
          <w:iCs/>
          <w:sz w:val="24"/>
        </w:rPr>
        <w:t>7. Infrastruktura</w:t>
      </w:r>
      <w:r w:rsidRPr="00C374EC">
        <w:rPr>
          <w:rFonts w:ascii="Times New Roman" w:hAnsi="Times New Roman"/>
          <w:bCs/>
          <w:sz w:val="24"/>
        </w:rPr>
        <w:t xml:space="preserve">, točki </w:t>
      </w:r>
      <w:r w:rsidRPr="00C374EC">
        <w:rPr>
          <w:rFonts w:ascii="Times New Roman" w:hAnsi="Times New Roman"/>
          <w:bCs/>
          <w:i/>
          <w:iCs/>
          <w:sz w:val="24"/>
        </w:rPr>
        <w:t>7.2.1. Gospodarska djelatnost</w:t>
      </w:r>
      <w:r w:rsidRPr="00C374EC">
        <w:rPr>
          <w:rFonts w:ascii="Times New Roman" w:hAnsi="Times New Roman"/>
          <w:bCs/>
          <w:sz w:val="24"/>
        </w:rPr>
        <w:t xml:space="preserve"> </w:t>
      </w:r>
      <w:r w:rsidRPr="00C374EC">
        <w:rPr>
          <w:rFonts w:ascii="Times New Roman" w:hAnsi="Times New Roman"/>
          <w:bCs/>
          <w:i/>
          <w:iCs/>
          <w:sz w:val="24"/>
        </w:rPr>
        <w:t>u odnosu na negospodarsku djelatnost</w:t>
      </w:r>
      <w:r w:rsidRPr="00C374EC">
        <w:rPr>
          <w:rFonts w:ascii="Times New Roman" w:hAnsi="Times New Roman"/>
          <w:bCs/>
          <w:sz w:val="24"/>
        </w:rPr>
        <w:t xml:space="preserve">, navode se specifični primjeri koji pojašnjavaju značenje pojma državne potpore u smislu članka 107. stavka 1. </w:t>
      </w:r>
      <w:r w:rsidRPr="00636AB0">
        <w:rPr>
          <w:rFonts w:ascii="Times New Roman" w:hAnsi="Times New Roman"/>
          <w:bCs/>
          <w:sz w:val="24"/>
        </w:rPr>
        <w:t>UFEU</w:t>
      </w:r>
      <w:r w:rsidRPr="00C374EC">
        <w:rPr>
          <w:rFonts w:ascii="Times New Roman" w:hAnsi="Times New Roman"/>
          <w:bCs/>
          <w:sz w:val="24"/>
        </w:rPr>
        <w:t>.</w:t>
      </w:r>
    </w:p>
    <w:p w14:paraId="0098578F" w14:textId="03734DF1" w:rsidR="0080282A" w:rsidRDefault="008948BA" w:rsidP="00FE1160">
      <w:pPr>
        <w:spacing w:after="240" w:line="240" w:lineRule="auto"/>
        <w:rPr>
          <w:rFonts w:ascii="Times New Roman" w:hAnsi="Times New Roman"/>
          <w:bCs/>
          <w:sz w:val="24"/>
        </w:rPr>
      </w:pPr>
      <w:r w:rsidRPr="00C374EC">
        <w:rPr>
          <w:rFonts w:ascii="Times New Roman" w:hAnsi="Times New Roman"/>
          <w:bCs/>
          <w:sz w:val="24"/>
        </w:rPr>
        <w:t>Prilikom izrade programa za dodjelu državnih potpora ili dodjeljivanja pojedinačnih potpora, one se moraju dodjeljivati u skladu s važećim pravilima o potporama, a u skladu s postupanjem propisanim člancima 8., 9. ili 10. Zakona o državnim potporama</w:t>
      </w:r>
      <w:r w:rsidRPr="00C374EC">
        <w:rPr>
          <w:rStyle w:val="Referencafusnote"/>
          <w:rFonts w:ascii="Times New Roman" w:hAnsi="Times New Roman"/>
          <w:bCs/>
          <w:sz w:val="24"/>
        </w:rPr>
        <w:footnoteReference w:id="63"/>
      </w:r>
      <w:r w:rsidRPr="00C374EC">
        <w:rPr>
          <w:rFonts w:ascii="Times New Roman" w:hAnsi="Times New Roman"/>
          <w:bCs/>
          <w:sz w:val="24"/>
        </w:rPr>
        <w:t xml:space="preserve"> (ZDP).</w:t>
      </w:r>
    </w:p>
    <w:p w14:paraId="7981C2D5" w14:textId="62211353" w:rsidR="008948BA" w:rsidRDefault="00604585" w:rsidP="00FE1160">
      <w:pPr>
        <w:spacing w:after="240" w:line="240" w:lineRule="auto"/>
        <w:rPr>
          <w:rFonts w:ascii="Times New Roman" w:hAnsi="Times New Roman"/>
          <w:bCs/>
          <w:sz w:val="24"/>
        </w:rPr>
      </w:pPr>
      <w:r w:rsidRPr="00C374EC">
        <w:rPr>
          <w:rFonts w:ascii="Times New Roman" w:hAnsi="Times New Roman"/>
          <w:bCs/>
          <w:sz w:val="24"/>
        </w:rPr>
        <w:t>Pri izradi programa odnosno mjera potpora potrebno je uvažiti opće odredbe i posebne odredbe koje su primjenjive na potpore za infrastrukturu, sadržane u nekim od pravila o potporama kao što su: Uredba Komisije (EU) br. 651/2014 od 17. lipnja 2014. o ocjenjivanju određenih kategorija potpora spojivima s unutarnjim tržištem u primjeni članaka 107. i 108. Ugovora</w:t>
      </w:r>
      <w:r w:rsidRPr="00C374EC">
        <w:rPr>
          <w:rStyle w:val="Referencafusnote"/>
          <w:rFonts w:ascii="Times New Roman" w:hAnsi="Times New Roman"/>
          <w:bCs/>
          <w:sz w:val="24"/>
        </w:rPr>
        <w:footnoteReference w:id="64"/>
      </w:r>
      <w:r w:rsidRPr="00C374EC">
        <w:rPr>
          <w:rFonts w:ascii="Times New Roman" w:hAnsi="Times New Roman"/>
          <w:bCs/>
          <w:sz w:val="24"/>
        </w:rPr>
        <w:t xml:space="preserve"> (SL L 187, 26.6.2014.; </w:t>
      </w:r>
      <w:r w:rsidR="00D83A7A">
        <w:rPr>
          <w:rFonts w:ascii="Times New Roman" w:hAnsi="Times New Roman"/>
          <w:bCs/>
          <w:sz w:val="24"/>
        </w:rPr>
        <w:t xml:space="preserve">u </w:t>
      </w:r>
      <w:r w:rsidRPr="00C374EC">
        <w:rPr>
          <w:rFonts w:ascii="Times New Roman" w:hAnsi="Times New Roman"/>
          <w:bCs/>
          <w:sz w:val="24"/>
        </w:rPr>
        <w:t>dalj</w:t>
      </w:r>
      <w:r w:rsidR="00D83A7A">
        <w:rPr>
          <w:rFonts w:ascii="Times New Roman" w:hAnsi="Times New Roman"/>
          <w:bCs/>
          <w:sz w:val="24"/>
        </w:rPr>
        <w:t>nj</w:t>
      </w:r>
      <w:r w:rsidRPr="00C374EC">
        <w:rPr>
          <w:rFonts w:ascii="Times New Roman" w:hAnsi="Times New Roman"/>
          <w:bCs/>
          <w:sz w:val="24"/>
        </w:rPr>
        <w:t>e</w:t>
      </w:r>
      <w:r w:rsidR="00D83A7A">
        <w:rPr>
          <w:rFonts w:ascii="Times New Roman" w:hAnsi="Times New Roman"/>
          <w:bCs/>
          <w:sz w:val="24"/>
        </w:rPr>
        <w:t>m tekstu</w:t>
      </w:r>
      <w:r w:rsidRPr="00C374EC">
        <w:rPr>
          <w:rFonts w:ascii="Times New Roman" w:hAnsi="Times New Roman"/>
          <w:bCs/>
          <w:sz w:val="24"/>
        </w:rPr>
        <w:t xml:space="preserve">: Uredba o općem skupnom izuzeću), kako je izmijenjena i dopunjena Uredbom </w:t>
      </w:r>
      <w:r w:rsidRPr="001E12E8">
        <w:rPr>
          <w:rFonts w:ascii="Times New Roman" w:hAnsi="Times New Roman"/>
          <w:bCs/>
          <w:sz w:val="24"/>
        </w:rPr>
        <w:t>Komisije (EU) 2017/1084 оd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(SL L 156/1, 20.6.2017.)</w:t>
      </w:r>
      <w:r w:rsidRPr="00C374EC">
        <w:rPr>
          <w:rStyle w:val="Referencafusnote"/>
          <w:rFonts w:ascii="Times New Roman" w:hAnsi="Times New Roman"/>
          <w:bCs/>
          <w:sz w:val="24"/>
        </w:rPr>
        <w:footnoteReference w:id="65"/>
      </w:r>
      <w:r w:rsidRPr="00C374EC">
        <w:rPr>
          <w:rFonts w:ascii="Times New Roman" w:hAnsi="Times New Roman"/>
          <w:bCs/>
          <w:sz w:val="24"/>
        </w:rPr>
        <w:t xml:space="preserve"> i Uredbom </w:t>
      </w:r>
      <w:r w:rsidRPr="00895CFA">
        <w:rPr>
          <w:rFonts w:ascii="Times New Roman" w:hAnsi="Times New Roman"/>
          <w:bCs/>
          <w:sz w:val="24"/>
        </w:rPr>
        <w:t>Komisije (EU) 2020/972 оd 2. srpnja 2020. o izmjeni Uredbe (EU) br. 1407/2013 u pogledu njezina produljenja i o izmjeni Uredbe (EU) br. 651/2014 u pogledu njezina produljenja i odgovarajućih prilagodbi (SL L 215/3, 07.07.2020.)</w:t>
      </w:r>
      <w:r w:rsidRPr="00C374EC">
        <w:rPr>
          <w:rStyle w:val="Referencafusnote"/>
          <w:rFonts w:ascii="Times New Roman" w:hAnsi="Times New Roman"/>
          <w:bCs/>
          <w:sz w:val="24"/>
        </w:rPr>
        <w:footnoteReference w:id="66"/>
      </w:r>
      <w:r>
        <w:rPr>
          <w:rFonts w:ascii="Times New Roman" w:hAnsi="Times New Roman"/>
          <w:bCs/>
          <w:sz w:val="24"/>
        </w:rPr>
        <w:t xml:space="preserve">; </w:t>
      </w:r>
      <w:r w:rsidR="00DA67BA" w:rsidRPr="00990509">
        <w:rPr>
          <w:rFonts w:ascii="Times New Roman" w:hAnsi="Times New Roman"/>
          <w:bCs/>
          <w:sz w:val="24"/>
        </w:rPr>
        <w:t xml:space="preserve">Uredbom Komisije </w:t>
      </w:r>
      <w:r w:rsidR="00505F22" w:rsidRPr="00990509">
        <w:rPr>
          <w:rFonts w:ascii="Times New Roman" w:hAnsi="Times New Roman"/>
          <w:bCs/>
          <w:sz w:val="24"/>
        </w:rPr>
        <w:t>(EU) 2021/1237 оd 23. srpnja 2021.</w:t>
      </w:r>
      <w:r w:rsidR="00DA67BA" w:rsidRPr="00990509">
        <w:rPr>
          <w:rFonts w:ascii="Times New Roman" w:hAnsi="Times New Roman"/>
          <w:bCs/>
          <w:sz w:val="24"/>
        </w:rPr>
        <w:t xml:space="preserve"> </w:t>
      </w:r>
      <w:r w:rsidR="00505F22" w:rsidRPr="00990509">
        <w:rPr>
          <w:rFonts w:ascii="Times New Roman" w:hAnsi="Times New Roman"/>
          <w:bCs/>
          <w:sz w:val="24"/>
        </w:rPr>
        <w:t xml:space="preserve">o izmjeni Uredbe (EU) br. 651/2014 o ocjenjivanju određenih kategorija potpora spojivima s unutarnjim tržištem u primjeni članaka 107. i </w:t>
      </w:r>
      <w:r w:rsidR="00505F22" w:rsidRPr="00990509">
        <w:rPr>
          <w:rFonts w:ascii="Times New Roman" w:hAnsi="Times New Roman"/>
          <w:bCs/>
          <w:sz w:val="24"/>
        </w:rPr>
        <w:lastRenderedPageBreak/>
        <w:t>108. Ugovora</w:t>
      </w:r>
      <w:r w:rsidR="00DA67BA" w:rsidRPr="00990509">
        <w:rPr>
          <w:rStyle w:val="Referencafusnote"/>
          <w:rFonts w:ascii="Times New Roman" w:hAnsi="Times New Roman"/>
          <w:bCs/>
          <w:sz w:val="24"/>
        </w:rPr>
        <w:footnoteReference w:id="67"/>
      </w:r>
      <w:r w:rsidR="00505F22">
        <w:rPr>
          <w:rFonts w:ascii="Times New Roman" w:hAnsi="Times New Roman"/>
          <w:bCs/>
          <w:sz w:val="24"/>
        </w:rPr>
        <w:t xml:space="preserve"> </w:t>
      </w:r>
      <w:r w:rsidRPr="00C374EC">
        <w:rPr>
          <w:rFonts w:ascii="Times New Roman" w:hAnsi="Times New Roman"/>
          <w:bCs/>
          <w:sz w:val="24"/>
        </w:rPr>
        <w:t>te pravila o potporama male vrijednosti ili druga primjenjiva pravila. Na primjer, državne potpore se mogu dodijeliti poduzetnicima za ulaganje u projekte energetske učinkovitosti zgrada u skladu s Odjeljkom 7., člankom 39. Uredbe o općem skupnom izuzeću (prema postupanju propisanom člankom 9. ZDP) ili u skladu sa Smjernicama o državnim potporama za zaštitu okoliša i energiju za razdoblje 2014.-2020.</w:t>
      </w:r>
      <w:r w:rsidRPr="00C374EC">
        <w:rPr>
          <w:rStyle w:val="Referencafusnote"/>
          <w:rFonts w:ascii="Times New Roman" w:hAnsi="Times New Roman"/>
          <w:bCs/>
          <w:sz w:val="24"/>
        </w:rPr>
        <w:footnoteReference w:id="68"/>
      </w:r>
      <w:r w:rsidRPr="00C374EC">
        <w:rPr>
          <w:rFonts w:ascii="Times New Roman" w:hAnsi="Times New Roman"/>
          <w:bCs/>
          <w:sz w:val="24"/>
        </w:rPr>
        <w:t xml:space="preserve"> (SL C 200</w:t>
      </w:r>
      <w:r>
        <w:rPr>
          <w:rFonts w:ascii="Times New Roman" w:hAnsi="Times New Roman"/>
          <w:bCs/>
          <w:sz w:val="24"/>
        </w:rPr>
        <w:t>/1</w:t>
      </w:r>
      <w:r w:rsidRPr="00C374EC">
        <w:rPr>
          <w:rFonts w:ascii="Times New Roman" w:hAnsi="Times New Roman"/>
          <w:bCs/>
          <w:sz w:val="24"/>
        </w:rPr>
        <w:t>, 28.6.2014., uključujući ispravak</w:t>
      </w:r>
      <w:r w:rsidRPr="00C374EC">
        <w:rPr>
          <w:rStyle w:val="Referencafusnote"/>
          <w:rFonts w:ascii="Times New Roman" w:hAnsi="Times New Roman"/>
          <w:bCs/>
          <w:sz w:val="24"/>
        </w:rPr>
        <w:footnoteReference w:id="69"/>
      </w:r>
      <w:r w:rsidRPr="00C374EC">
        <w:rPr>
          <w:rFonts w:ascii="Times New Roman" w:hAnsi="Times New Roman"/>
          <w:bCs/>
          <w:sz w:val="24"/>
        </w:rPr>
        <w:t xml:space="preserve"> SL 290</w:t>
      </w:r>
      <w:r>
        <w:rPr>
          <w:rFonts w:ascii="Times New Roman" w:hAnsi="Times New Roman"/>
          <w:bCs/>
          <w:sz w:val="24"/>
        </w:rPr>
        <w:t>/11</w:t>
      </w:r>
      <w:r w:rsidRPr="00C374EC">
        <w:rPr>
          <w:rFonts w:ascii="Times New Roman" w:hAnsi="Times New Roman"/>
          <w:bCs/>
          <w:sz w:val="24"/>
        </w:rPr>
        <w:t xml:space="preserve">, 10.8.2016.) kao i Komunikaciju Komisije o produljenju i izmjeni navedenih Smjernica </w:t>
      </w:r>
      <w:r w:rsidRPr="00C374EC">
        <w:rPr>
          <w:rStyle w:val="Referencafusnote"/>
          <w:rFonts w:ascii="Times New Roman" w:hAnsi="Times New Roman"/>
          <w:bCs/>
          <w:sz w:val="24"/>
        </w:rPr>
        <w:footnoteReference w:id="70"/>
      </w:r>
      <w:r w:rsidRPr="00C374EC">
        <w:rPr>
          <w:rFonts w:ascii="Times New Roman" w:hAnsi="Times New Roman"/>
          <w:bCs/>
          <w:sz w:val="24"/>
        </w:rPr>
        <w:t>(SL C 224</w:t>
      </w:r>
      <w:r>
        <w:rPr>
          <w:rFonts w:ascii="Times New Roman" w:hAnsi="Times New Roman"/>
          <w:bCs/>
          <w:sz w:val="24"/>
        </w:rPr>
        <w:t>/2</w:t>
      </w:r>
      <w:r w:rsidRPr="00C374EC">
        <w:rPr>
          <w:rFonts w:ascii="Times New Roman" w:hAnsi="Times New Roman"/>
          <w:bCs/>
          <w:sz w:val="24"/>
        </w:rPr>
        <w:t>, 8.7.2020.).</w:t>
      </w:r>
    </w:p>
    <w:p w14:paraId="6B42E3AD" w14:textId="77777777" w:rsidR="00705D63" w:rsidRPr="00C374EC" w:rsidRDefault="00705D63" w:rsidP="00BC3799">
      <w:pPr>
        <w:spacing w:after="240" w:line="240" w:lineRule="auto"/>
        <w:rPr>
          <w:rFonts w:ascii="Times New Roman" w:hAnsi="Times New Roman"/>
          <w:sz w:val="24"/>
        </w:rPr>
      </w:pPr>
      <w:r w:rsidRPr="00C374EC">
        <w:rPr>
          <w:rFonts w:ascii="Times New Roman" w:hAnsi="Times New Roman"/>
          <w:sz w:val="24"/>
        </w:rPr>
        <w:t>Infrastrukturna analitička mreža</w:t>
      </w:r>
      <w:r w:rsidRPr="00C374EC">
        <w:rPr>
          <w:rStyle w:val="Referencafusnote"/>
          <w:rFonts w:ascii="Times New Roman" w:hAnsi="Times New Roman"/>
          <w:sz w:val="24"/>
        </w:rPr>
        <w:footnoteReference w:id="71"/>
      </w:r>
      <w:r w:rsidRPr="00C374EC">
        <w:rPr>
          <w:rFonts w:ascii="Times New Roman" w:hAnsi="Times New Roman"/>
          <w:sz w:val="24"/>
        </w:rPr>
        <w:t xml:space="preserve"> EK pojašnjava temeljne odrednice pravila o državnim potporama primjenjivim na javno financiranje infrastrukture.</w:t>
      </w:r>
    </w:p>
    <w:p w14:paraId="12B4A205" w14:textId="3DCC01E9" w:rsidR="008948BA" w:rsidRDefault="00BC3799" w:rsidP="00FE1160">
      <w:pPr>
        <w:spacing w:after="240" w:line="240" w:lineRule="auto"/>
        <w:rPr>
          <w:rFonts w:ascii="Times New Roman" w:hAnsi="Times New Roman"/>
          <w:bCs/>
          <w:sz w:val="24"/>
        </w:rPr>
      </w:pPr>
      <w:r w:rsidRPr="00C374EC">
        <w:rPr>
          <w:rFonts w:ascii="Times New Roman" w:hAnsi="Times New Roman"/>
          <w:sz w:val="24"/>
        </w:rPr>
        <w:t>Predlošci za državne potpore</w:t>
      </w:r>
      <w:r w:rsidRPr="00C374EC">
        <w:rPr>
          <w:rStyle w:val="Referencafusnote"/>
          <w:rFonts w:ascii="Times New Roman" w:hAnsi="Times New Roman"/>
          <w:sz w:val="24"/>
        </w:rPr>
        <w:footnoteReference w:id="72"/>
      </w:r>
      <w:r w:rsidRPr="00C374EC">
        <w:rPr>
          <w:rFonts w:ascii="Times New Roman" w:hAnsi="Times New Roman"/>
          <w:sz w:val="24"/>
        </w:rPr>
        <w:t xml:space="preserve"> koje je usvojila Europska komisija služe kao smjernice za državne potpore. Riječ je o tehničkim dokumentima čiji je cilj pružiti pomoć državama članicama u dizajniranju njihovih nacionalnih planova oporavka i otpornosti u skladu s pravilima EU o državnim potporama. Predlošci obuhvaćaju brojne vrste investicijskih projekata u skladu s europskim predvodnicima Komisijine Godišnje strategije održivog rasta 2021</w:t>
      </w:r>
      <w:r>
        <w:rPr>
          <w:rStyle w:val="Referencafusnote"/>
          <w:rFonts w:ascii="Times New Roman" w:hAnsi="Times New Roman"/>
          <w:sz w:val="24"/>
        </w:rPr>
        <w:footnoteReference w:id="73"/>
      </w:r>
      <w:r w:rsidRPr="00C374EC">
        <w:rPr>
          <w:rFonts w:ascii="Times New Roman" w:hAnsi="Times New Roman"/>
          <w:sz w:val="24"/>
        </w:rPr>
        <w:t>.</w:t>
      </w:r>
    </w:p>
    <w:p w14:paraId="45D05C54" w14:textId="1D24FC92" w:rsidR="00496804" w:rsidRDefault="00496804">
      <w:pPr>
        <w:spacing w:line="240" w:lineRule="auto"/>
        <w:rPr>
          <w:rFonts w:ascii="Times New Roman" w:hAnsi="Times New Roman"/>
          <w:bCs/>
          <w:sz w:val="24"/>
        </w:rPr>
      </w:pPr>
    </w:p>
    <w:p w14:paraId="45D05C55" w14:textId="4C7489C8" w:rsidR="0078217A" w:rsidRDefault="0078217A">
      <w:pPr>
        <w:spacing w:line="240" w:lineRule="auto"/>
        <w:jc w:val="left"/>
        <w:rPr>
          <w:rFonts w:ascii="Times New Roman" w:hAnsi="Times New Roman"/>
          <w:bCs/>
          <w:sz w:val="24"/>
        </w:rPr>
      </w:pPr>
      <w:r>
        <w:rPr>
          <w:rFonts w:ascii="Times New Roman" w:hAnsi="Times New Roman"/>
          <w:bCs/>
          <w:sz w:val="24"/>
        </w:rPr>
        <w:br w:type="page"/>
      </w:r>
    </w:p>
    <w:p w14:paraId="45D05C57" w14:textId="77777777" w:rsidR="00496804" w:rsidRDefault="0037359D">
      <w:pPr>
        <w:pStyle w:val="Naslov2"/>
        <w:ind w:left="426" w:hanging="426"/>
        <w:rPr>
          <w:rFonts w:ascii="Times New Roman" w:hAnsi="Times New Roman" w:cs="Times New Roman"/>
          <w:color w:val="auto"/>
          <w:sz w:val="24"/>
          <w:szCs w:val="24"/>
        </w:rPr>
      </w:pPr>
      <w:bookmarkStart w:id="143" w:name="_Toc51851642"/>
      <w:r>
        <w:rPr>
          <w:rFonts w:ascii="Times New Roman" w:hAnsi="Times New Roman" w:cs="Times New Roman"/>
          <w:color w:val="auto"/>
          <w:sz w:val="24"/>
          <w:szCs w:val="24"/>
        </w:rPr>
        <w:lastRenderedPageBreak/>
        <w:t>KRUŽNO GOSPODARENJE PROSTOROM I ZGRADAMA U EU – PRIMJERI DOBRE PRAKSE</w:t>
      </w:r>
      <w:bookmarkEnd w:id="143"/>
    </w:p>
    <w:p w14:paraId="45D05C58" w14:textId="77777777" w:rsidR="00496804" w:rsidRDefault="00496804">
      <w:pPr>
        <w:spacing w:line="240" w:lineRule="auto"/>
        <w:rPr>
          <w:rFonts w:ascii="Times New Roman" w:hAnsi="Times New Roman"/>
          <w:sz w:val="24"/>
          <w:lang w:eastAsia="hr-HR"/>
        </w:rPr>
      </w:pPr>
    </w:p>
    <w:p w14:paraId="45D05C59" w14:textId="079023BA" w:rsidR="00496804" w:rsidRDefault="0037359D">
      <w:pPr>
        <w:spacing w:line="240" w:lineRule="auto"/>
        <w:rPr>
          <w:rFonts w:ascii="Times New Roman" w:hAnsi="Times New Roman"/>
          <w:sz w:val="24"/>
        </w:rPr>
      </w:pPr>
      <w:r>
        <w:rPr>
          <w:rFonts w:ascii="Times New Roman" w:hAnsi="Times New Roman"/>
          <w:sz w:val="24"/>
        </w:rPr>
        <w:t xml:space="preserve">Kružno gospodarenje prostorom i zgradama je na počecima i ne postoji velik broj realiziranih projekta prostora i zgrada po načelima kružnog gospodarenja. </w:t>
      </w:r>
    </w:p>
    <w:p w14:paraId="45D05C5A" w14:textId="77777777" w:rsidR="00496804" w:rsidRDefault="0037359D">
      <w:pPr>
        <w:spacing w:line="240" w:lineRule="auto"/>
        <w:rPr>
          <w:rFonts w:ascii="Times New Roman" w:hAnsi="Times New Roman"/>
          <w:sz w:val="24"/>
        </w:rPr>
      </w:pPr>
      <w:r>
        <w:rPr>
          <w:rFonts w:ascii="Times New Roman" w:hAnsi="Times New Roman"/>
          <w:sz w:val="24"/>
        </w:rPr>
        <w:t>Napravljen je pregled nekih europskih primjera dobre prakse koji mogu poslužiti kao modeli za postupanje u sličnim okolnostima u RH:</w:t>
      </w:r>
    </w:p>
    <w:p w14:paraId="45D05C5B" w14:textId="77777777" w:rsidR="00496804" w:rsidRDefault="00496804">
      <w:pPr>
        <w:spacing w:line="240" w:lineRule="auto"/>
        <w:rPr>
          <w:rFonts w:ascii="Times New Roman" w:hAnsi="Times New Roman"/>
          <w:sz w:val="24"/>
        </w:rPr>
      </w:pPr>
    </w:p>
    <w:tbl>
      <w:tblPr>
        <w:tblStyle w:val="ivopisnatablicapopisa6-isticanje51"/>
        <w:tblW w:w="0" w:type="auto"/>
        <w:tblLook w:val="04A0" w:firstRow="1" w:lastRow="0" w:firstColumn="1" w:lastColumn="0" w:noHBand="0" w:noVBand="1"/>
      </w:tblPr>
      <w:tblGrid>
        <w:gridCol w:w="9632"/>
      </w:tblGrid>
      <w:tr w:rsidR="00496804" w14:paraId="45D05C67"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5C" w14:textId="77777777" w:rsidR="00496804" w:rsidRDefault="0037359D">
            <w:pPr>
              <w:spacing w:line="240" w:lineRule="auto"/>
              <w:rPr>
                <w:rFonts w:ascii="Times New Roman" w:hAnsi="Times New Roman"/>
                <w:sz w:val="24"/>
              </w:rPr>
            </w:pPr>
            <w:r>
              <w:rPr>
                <w:rFonts w:ascii="Times New Roman" w:hAnsi="Times New Roman"/>
                <w:sz w:val="24"/>
              </w:rPr>
              <w:t xml:space="preserve">Antwerp </w:t>
            </w:r>
            <w:r>
              <w:rPr>
                <w:rFonts w:ascii="Times New Roman" w:hAnsi="Times New Roman"/>
                <w:sz w:val="24"/>
                <w:u w:color="C00000"/>
              </w:rPr>
              <w:t xml:space="preserve">Circular South – </w:t>
            </w:r>
            <w:r>
              <w:rPr>
                <w:rFonts w:ascii="Times New Roman" w:hAnsi="Times New Roman"/>
                <w:sz w:val="24"/>
              </w:rPr>
              <w:t>projekt uključivanja lokalne zajednice kroz različite inicijative (online ili off line), a cilj je utjecati na promjenu ponašanja građana kako bi se smanjila potrošnja energije i proizvodnja otpada. Izazovi s kojima se suočavaju uspješni gradovi zahtijevaju resurse. Stoga Antwerp, poput drugih europskih gradova, traži kružna rješenja za vlastite tokove otpada/materijala, vode i energije. Iako gusto urbano tkivo često postavlja prostorna i zakonska ograničenja u provođenju učinkovitih mjera, gustoća naselja također pomaže u stvaranju idealnog društvenog okruženja za podršku zajednice. Razvoj novih stambenih četvrti kao što je "New South" nudi jedinstvene mogućnosti u stvaranju vlastite lokalne kružne ekonomije za rastuću novu zajednicu.</w:t>
            </w:r>
          </w:p>
          <w:p w14:paraId="45D05C5D" w14:textId="77777777" w:rsidR="00496804" w:rsidRDefault="0037359D">
            <w:pPr>
              <w:spacing w:line="240" w:lineRule="auto"/>
              <w:rPr>
                <w:rFonts w:ascii="Times New Roman" w:hAnsi="Times New Roman"/>
                <w:sz w:val="24"/>
              </w:rPr>
            </w:pPr>
            <w:r>
              <w:rPr>
                <w:rFonts w:ascii="Times New Roman" w:hAnsi="Times New Roman"/>
                <w:sz w:val="24"/>
              </w:rPr>
              <w:t>Inovativni aspekt projekta je njegov pristup usmjeren u zajednicu budući da teorije tranzicije potvrđuju da je za kružno ponašanje potrebna svijest građana. Zbog jedinstvenog participativnog pristupa, naselje i stanovnici će stoga zajedno testirati napredna tehnološka rješenja kroz mrežne i izvan-mrežne aktivnosti.</w:t>
            </w:r>
          </w:p>
          <w:p w14:paraId="45D05C5E" w14:textId="77777777" w:rsidR="00496804" w:rsidRDefault="0037359D">
            <w:pPr>
              <w:spacing w:line="240" w:lineRule="auto"/>
              <w:rPr>
                <w:rFonts w:ascii="Times New Roman" w:hAnsi="Times New Roman"/>
                <w:sz w:val="24"/>
              </w:rPr>
            </w:pPr>
            <w:r>
              <w:rPr>
                <w:rFonts w:ascii="Times New Roman" w:hAnsi="Times New Roman"/>
                <w:sz w:val="24"/>
              </w:rPr>
              <w:t>Online:</w:t>
            </w:r>
          </w:p>
          <w:p w14:paraId="45D05C5F" w14:textId="77777777" w:rsidR="00496804" w:rsidRDefault="0037359D">
            <w:pPr>
              <w:spacing w:line="240" w:lineRule="auto"/>
              <w:rPr>
                <w:rFonts w:ascii="Times New Roman" w:hAnsi="Times New Roman"/>
                <w:sz w:val="24"/>
              </w:rPr>
            </w:pPr>
            <w:r>
              <w:rPr>
                <w:rFonts w:ascii="Times New Roman" w:hAnsi="Times New Roman"/>
                <w:sz w:val="24"/>
              </w:rPr>
              <w:t>• Prikaz protoka podataka u stvarnom vremenu iz uređaja kojim se mjeri potrošnja energije, vode i otpada. Time se povećava svijest građana o njihovoj potrošnji i potiče ih na optimalnu potrošnju</w:t>
            </w:r>
          </w:p>
          <w:p w14:paraId="45D05C60" w14:textId="77777777" w:rsidR="00496804" w:rsidRDefault="0037359D">
            <w:pPr>
              <w:spacing w:line="240" w:lineRule="auto"/>
              <w:rPr>
                <w:rFonts w:ascii="Times New Roman" w:hAnsi="Times New Roman"/>
                <w:sz w:val="24"/>
              </w:rPr>
            </w:pPr>
            <w:r>
              <w:rPr>
                <w:rFonts w:ascii="Times New Roman" w:hAnsi="Times New Roman"/>
                <w:sz w:val="24"/>
              </w:rPr>
              <w:t>• Mrežni sustav nagrađivanja i razmjene podataka u cilju poticanja kružnog ponašanja.</w:t>
            </w:r>
          </w:p>
          <w:p w14:paraId="45D05C61" w14:textId="77777777" w:rsidR="00496804" w:rsidRDefault="0037359D">
            <w:pPr>
              <w:spacing w:line="240" w:lineRule="auto"/>
              <w:rPr>
                <w:rFonts w:ascii="Times New Roman" w:hAnsi="Times New Roman"/>
                <w:sz w:val="24"/>
              </w:rPr>
            </w:pPr>
            <w:r>
              <w:rPr>
                <w:rFonts w:ascii="Times New Roman" w:hAnsi="Times New Roman"/>
                <w:sz w:val="24"/>
              </w:rPr>
              <w:t>• Lokalna energetska zadruga omogućiti će eksperimente pametne razmjene energije u skladu s dostupnošću obnovljivih izvora energije.</w:t>
            </w:r>
          </w:p>
          <w:p w14:paraId="45D05C62" w14:textId="77777777" w:rsidR="00496804" w:rsidRDefault="0037359D">
            <w:pPr>
              <w:spacing w:line="240" w:lineRule="auto"/>
              <w:rPr>
                <w:rFonts w:ascii="Times New Roman" w:hAnsi="Times New Roman"/>
                <w:sz w:val="24"/>
              </w:rPr>
            </w:pPr>
            <w:r>
              <w:rPr>
                <w:rFonts w:ascii="Times New Roman" w:hAnsi="Times New Roman"/>
                <w:sz w:val="24"/>
              </w:rPr>
              <w:t xml:space="preserve"> Offline:</w:t>
            </w:r>
          </w:p>
          <w:p w14:paraId="45D05C63" w14:textId="77777777" w:rsidR="00496804" w:rsidRDefault="0037359D">
            <w:pPr>
              <w:spacing w:line="240" w:lineRule="auto"/>
              <w:rPr>
                <w:rFonts w:ascii="Times New Roman" w:hAnsi="Times New Roman"/>
                <w:sz w:val="24"/>
              </w:rPr>
            </w:pPr>
            <w:r>
              <w:rPr>
                <w:rFonts w:ascii="Times New Roman" w:hAnsi="Times New Roman"/>
                <w:sz w:val="24"/>
              </w:rPr>
              <w:t>• U društvenim centrima će se odvijati aktivnosti koje se temelje na podjeli, popravku i ponovnoj uporabi materijala (kao što je alat, odjeća, građevni materijal itd.). Tu će se razmjenjivati znanja, vještine i ideje sve u cilju njihovog optimiziranja</w:t>
            </w:r>
          </w:p>
          <w:p w14:paraId="45D05C64" w14:textId="77777777" w:rsidR="00496804" w:rsidRDefault="0037359D">
            <w:pPr>
              <w:spacing w:line="240" w:lineRule="auto"/>
              <w:rPr>
                <w:rFonts w:ascii="Times New Roman" w:hAnsi="Times New Roman"/>
                <w:sz w:val="24"/>
              </w:rPr>
            </w:pPr>
            <w:r>
              <w:rPr>
                <w:rFonts w:ascii="Times New Roman" w:hAnsi="Times New Roman"/>
                <w:sz w:val="24"/>
              </w:rPr>
              <w:t>• Inicijative kao što su kolektivni izazovi odlaganja otpada, dijeljenje vrtlarskih alata ili grupa za nabavu „Design for Disassembly“ proizvoda dodatno će poboljšati kružnu dinamiku zajednice i smanjiti „resource footprint“.</w:t>
            </w:r>
          </w:p>
          <w:p w14:paraId="45D05C65" w14:textId="77777777" w:rsidR="00496804" w:rsidRDefault="0037359D">
            <w:pPr>
              <w:spacing w:line="240" w:lineRule="auto"/>
              <w:rPr>
                <w:rFonts w:ascii="Times New Roman" w:hAnsi="Times New Roman"/>
                <w:sz w:val="24"/>
              </w:rPr>
            </w:pPr>
            <w:r>
              <w:rPr>
                <w:rFonts w:ascii="Times New Roman" w:hAnsi="Times New Roman"/>
                <w:sz w:val="24"/>
              </w:rPr>
              <w:t>Kratkoročni cilj je kolektivno smanjiti potrošnju resursa, a dugoročni stvaranje platforme koja se može primijeniti i u drugim četvrtima.</w:t>
            </w:r>
          </w:p>
          <w:p w14:paraId="45D05C66" w14:textId="77777777" w:rsidR="00496804" w:rsidRDefault="004A10C1">
            <w:pPr>
              <w:spacing w:line="240" w:lineRule="auto"/>
              <w:rPr>
                <w:rFonts w:ascii="Times New Roman" w:hAnsi="Times New Roman"/>
                <w:sz w:val="24"/>
              </w:rPr>
            </w:pPr>
            <w:hyperlink r:id="rId34" w:history="1">
              <w:r w:rsidR="0037359D">
                <w:rPr>
                  <w:rFonts w:ascii="Times New Roman" w:hAnsi="Times New Roman"/>
                  <w:sz w:val="24"/>
                </w:rPr>
                <w:t>https://www.uia-initiative.eu/en/uia-cities/antwerp-call2</w:t>
              </w:r>
            </w:hyperlink>
          </w:p>
        </w:tc>
      </w:tr>
      <w:tr w:rsidR="00496804" w14:paraId="45D05C6C"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68" w14:textId="77777777" w:rsidR="00496804" w:rsidRDefault="0037359D">
            <w:pPr>
              <w:spacing w:line="240" w:lineRule="auto"/>
              <w:rPr>
                <w:rFonts w:ascii="Times New Roman" w:hAnsi="Times New Roman"/>
                <w:sz w:val="24"/>
              </w:rPr>
            </w:pPr>
            <w:r>
              <w:rPr>
                <w:rFonts w:ascii="Times New Roman" w:hAnsi="Times New Roman"/>
                <w:sz w:val="24"/>
              </w:rPr>
              <w:t>Park 20 I 20 Business park Amsterdam – novi poslovni park planiran u skladu s načelom "</w:t>
            </w:r>
            <w:r>
              <w:rPr>
                <w:rFonts w:ascii="Times New Roman" w:hAnsi="Times New Roman"/>
                <w:i/>
                <w:sz w:val="24"/>
              </w:rPr>
              <w:t>Cradle-to-Cradle"</w:t>
            </w:r>
            <w:r>
              <w:rPr>
                <w:rFonts w:ascii="Times New Roman" w:hAnsi="Times New Roman"/>
                <w:iCs/>
                <w:sz w:val="24"/>
              </w:rPr>
              <w:t>.</w:t>
            </w:r>
          </w:p>
          <w:p w14:paraId="45D05C69" w14:textId="77777777" w:rsidR="00496804" w:rsidRDefault="0037359D">
            <w:pPr>
              <w:spacing w:line="240" w:lineRule="auto"/>
              <w:rPr>
                <w:rFonts w:ascii="Times New Roman" w:hAnsi="Times New Roman"/>
                <w:sz w:val="24"/>
              </w:rPr>
            </w:pPr>
            <w:r>
              <w:rPr>
                <w:rFonts w:ascii="Times New Roman" w:hAnsi="Times New Roman"/>
                <w:sz w:val="24"/>
              </w:rPr>
              <w:t xml:space="preserve">Ovaj poslovni park, smješten južno od amsterdamske zračne luke Schiphol, nastao je u potpunosti u skladu s načelom „Cradel-to-Cradel“ kao optimizirano poslovno okruženje. Park spaja održivi dizajn i optimalan ekološki pristup s naglaskom na inovativno poslovanje, a u središte stavlja dobrobit za čovjeka. Dijelom zbog privlačnog krajolika s puno vode i zelenila, poslovni park s privlačnim ergonomskim zgradama motivirajući je za rad zaposlenih. Sve su zgrade gotovo nulte energije s brojnim sadržajima i dobrom uslugom, a na raspolaganju je i plan održivog financiranja. Developer je također vlasnik zgrada, što znači da postoji odgovarajući poticaj za produženje njihove dugovječnosti, kao i za smanjenje potrošnje energije i ostalih resursa. Stanari imaju vlastite kružne vjerodajnice, a tvrtke, poput pružatelja energetskih usluga Bluewater i proizvođača audio opreme Plantronics, su </w:t>
            </w:r>
            <w:r>
              <w:rPr>
                <w:rFonts w:ascii="Times New Roman" w:hAnsi="Times New Roman"/>
                <w:sz w:val="24"/>
              </w:rPr>
              <w:lastRenderedPageBreak/>
              <w:t xml:space="preserve">također pioniri u novim modelima rada. Objekti u Parku 20 | 20 projektirani su tako da se lako mogu rastaviti i ponovo upotrijebiti u novom ciklusu. </w:t>
            </w:r>
          </w:p>
          <w:p w14:paraId="45D05C6A" w14:textId="77777777" w:rsidR="00496804" w:rsidRDefault="0037359D">
            <w:pPr>
              <w:spacing w:line="240" w:lineRule="auto"/>
              <w:rPr>
                <w:rFonts w:ascii="Times New Roman" w:hAnsi="Times New Roman"/>
                <w:sz w:val="24"/>
              </w:rPr>
            </w:pPr>
            <w:r>
              <w:rPr>
                <w:rFonts w:ascii="Times New Roman" w:hAnsi="Times New Roman"/>
                <w:sz w:val="24"/>
              </w:rPr>
              <w:t>Neki dijelovi zgrade prilikom uklanjanja mogu se sigurno vratiti u tlo kao biološka hrana. Ostali dijelovi se ponovno koriste kao materijali za nove proizvode ili zgrade. Mnogi krovovi imaju solarne panele, što znači da se solarna energija može koristiti za energetske potrebe. Raznolikost se promiče integriranjem zelenila, pčela, leptira, svježeg voća i povrća. U prizemlju zgrade SHARE moguće je iznajmiti sobe za sastanke, (dodatni) poslovni prostor ili odvojena radna mjesta na određeno vrijeme. Instalacije su pametno promišljene za svaku zgradu, što omogućuje promjenu rasporeda ureda bez velikih troškova.</w:t>
            </w:r>
          </w:p>
          <w:p w14:paraId="45D05C6B" w14:textId="77777777" w:rsidR="00496804" w:rsidRDefault="0037359D">
            <w:pPr>
              <w:spacing w:line="240" w:lineRule="auto"/>
              <w:rPr>
                <w:rFonts w:ascii="Times New Roman" w:hAnsi="Times New Roman"/>
                <w:sz w:val="24"/>
              </w:rPr>
            </w:pPr>
            <w:r>
              <w:rPr>
                <w:rFonts w:ascii="Times New Roman" w:hAnsi="Times New Roman"/>
                <w:sz w:val="24"/>
              </w:rPr>
              <w:t xml:space="preserve"> </w:t>
            </w:r>
            <w:hyperlink r:id="rId35" w:history="1">
              <w:r>
                <w:rPr>
                  <w:rFonts w:ascii="Times New Roman" w:hAnsi="Times New Roman"/>
                  <w:sz w:val="24"/>
                </w:rPr>
                <w:t>https://www.deltadevelopment.eu/en/project-development/projectdevelopment/park-2020/</w:t>
              </w:r>
            </w:hyperlink>
          </w:p>
        </w:tc>
      </w:tr>
      <w:tr w:rsidR="00496804" w14:paraId="45D05C70"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6D" w14:textId="77777777" w:rsidR="00496804" w:rsidRDefault="0037359D">
            <w:pPr>
              <w:spacing w:line="240" w:lineRule="auto"/>
              <w:rPr>
                <w:rFonts w:ascii="Times New Roman" w:hAnsi="Times New Roman"/>
                <w:sz w:val="24"/>
              </w:rPr>
            </w:pPr>
            <w:r>
              <w:rPr>
                <w:rFonts w:ascii="Times New Roman" w:hAnsi="Times New Roman"/>
                <w:sz w:val="24"/>
              </w:rPr>
              <w:lastRenderedPageBreak/>
              <w:t xml:space="preserve">Bringing Back Homes – program ponovne upotrebe napuštenih prostora u centrima irskih gradova primarno je orijentiran na male prodajne prostore u prizemlju ili na stanove iznad tih prostora. Cilj programa je oživljavanje gradskih centara kroz povratak i interakciju stanovništva. Glavna korist ovoga programa je osiguranje kvalitetnog i održivog stanovanja za pojedince i obitelji kojima je to najpotrebnije. </w:t>
            </w:r>
          </w:p>
          <w:p w14:paraId="45D05C6E" w14:textId="77777777" w:rsidR="00496804" w:rsidRDefault="0037359D">
            <w:pPr>
              <w:spacing w:line="240" w:lineRule="auto"/>
              <w:rPr>
                <w:rFonts w:ascii="Times New Roman" w:hAnsi="Times New Roman"/>
                <w:sz w:val="24"/>
              </w:rPr>
            </w:pPr>
            <w:r>
              <w:rPr>
                <w:rFonts w:ascii="Times New Roman" w:hAnsi="Times New Roman"/>
                <w:sz w:val="24"/>
              </w:rPr>
              <w:t>Revitaliziranje glavnih ulica irskih gradova kroz dobro planirane i projektirane stambene jedinice, posebice iznad trgovina, moglo bi pomoći obnavljanju manjih gradskih središta. To bi omogućilo ostvarenje potencijala tih gradskih središta na način da postanu kompaktna, cjelovita i multifunkcionalna naselja u kojima se živi, radi i druži. Revitalizirana središta omogućila bi pješačenje ili vožnje biciklima do radnih mjesta, škola ili trgovina. Privukli bi turiste i druge posjetitelje pojačanom kulturnom ponudom koja bi bila rezultat revitalizacije tih gradskih prostora.</w:t>
            </w:r>
          </w:p>
          <w:p w14:paraId="45D05C6F" w14:textId="77777777" w:rsidR="00496804" w:rsidRDefault="004A10C1">
            <w:pPr>
              <w:spacing w:line="240" w:lineRule="auto"/>
              <w:rPr>
                <w:rFonts w:ascii="Times New Roman" w:hAnsi="Times New Roman"/>
                <w:sz w:val="24"/>
              </w:rPr>
            </w:pPr>
            <w:hyperlink r:id="rId36" w:history="1">
              <w:r w:rsidR="0037359D">
                <w:rPr>
                  <w:rFonts w:ascii="Times New Roman" w:hAnsi="Times New Roman"/>
                  <w:sz w:val="24"/>
                </w:rPr>
                <w:t>https://www.housing.gov.ie/housing/home-ownership/vacant-homes/bringing-back-homes-manual-reuse-existing-buildings</w:t>
              </w:r>
            </w:hyperlink>
          </w:p>
        </w:tc>
      </w:tr>
      <w:tr w:rsidR="00496804" w14:paraId="45D05C74"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71" w14:textId="77777777" w:rsidR="00496804" w:rsidRDefault="0037359D">
            <w:pPr>
              <w:spacing w:line="240" w:lineRule="auto"/>
              <w:rPr>
                <w:rFonts w:ascii="Times New Roman" w:hAnsi="Times New Roman"/>
                <w:sz w:val="24"/>
              </w:rPr>
            </w:pPr>
            <w:r>
              <w:rPr>
                <w:rFonts w:ascii="Times New Roman" w:hAnsi="Times New Roman"/>
                <w:sz w:val="24"/>
              </w:rPr>
              <w:t>Projekt obnove zgrade Stanley, London – Postojeća zgrada jedan je od primjera ranog socijalnog stanovanja. Obnovljena je, a zatim je izgrađena nova poslovna zgrada povezana s njom i pridružena postojećoj strukturi otvorenim, staklenim atrijem. Korišteni su materijali i iz stare zgrade, srušene pored obnovljene, kao i suvremeni materijali i tehnologije. Zgradu karakterizira održiv dizajn, u cilju očuvanja nasljeđa, uz izbjegavanje strukturnih promjena, a 30.297 m</w:t>
            </w:r>
            <w:r>
              <w:rPr>
                <w:rFonts w:ascii="Times New Roman" w:hAnsi="Times New Roman"/>
                <w:sz w:val="24"/>
                <w:vertAlign w:val="superscript"/>
              </w:rPr>
              <w:t>2</w:t>
            </w:r>
            <w:r>
              <w:rPr>
                <w:rFonts w:ascii="Times New Roman" w:hAnsi="Times New Roman"/>
                <w:sz w:val="24"/>
              </w:rPr>
              <w:t xml:space="preserve"> izvanrednog uredskog prostora čine popratne sobe i prostori za sastanke na pet katova. Obnovljene su male prostorije u staroj zgradi u sobe za sastanke, a novi dio zgrade dizajniran je kako bi se pružio otvoreni, moderni uredski prostor. </w:t>
            </w:r>
          </w:p>
          <w:p w14:paraId="45D05C72" w14:textId="77777777" w:rsidR="00496804" w:rsidRDefault="0037359D">
            <w:pPr>
              <w:spacing w:line="240" w:lineRule="auto"/>
              <w:rPr>
                <w:rFonts w:ascii="Times New Roman" w:hAnsi="Times New Roman"/>
                <w:sz w:val="24"/>
              </w:rPr>
            </w:pPr>
            <w:r>
              <w:rPr>
                <w:rFonts w:ascii="Times New Roman" w:hAnsi="Times New Roman"/>
                <w:sz w:val="24"/>
              </w:rPr>
              <w:t>Kako bi se uspješno integrirale stare i nove komponente projekta, koristilo se modeliranje zgrada u BIM-u. Na taj način mogli su se izraditi detaljni konstrukcijski modeli zgrada te bolje planirati radovi. Energetskoj učinkovitosti zgrade doprinose orijentacija zgrade i sunčeva sjenila, korištenje termalne mase i vidljivi podgledi te pasivni sustavi ventilacije koji pomažu osiguranju od temperaturnih promjena. Zgrada je projektirana tako da učinkovito koristi resurse. Zadržavajući postojeću strukturu stare zgrade gdje je to bilo moguće, obnovljeni su i ponovno upotrijebljeni unutarnji elementi kao što su vapnena žbuka, stupovi i čelični elementi. Vraćena je vanjska ograda od kovanog željeza na balkonima, a popravljena je fasada od opeke. Kada je susjedna zgrada srušena, sačuvani su prozori, kamini i podne daske za ponovnu uporabu u obnovljenoj zgradi. Instalirani su sustavi za prikupljanje kišnice kako bi se osigurala voda na krovnom vrtu i zelenom zidu, dok unutar zgrade manje cisterne i regulatori protoka smanjuju potrošnju vode u zgradi.</w:t>
            </w:r>
          </w:p>
          <w:p w14:paraId="45D05C73" w14:textId="77777777" w:rsidR="00496804" w:rsidRDefault="004A10C1">
            <w:pPr>
              <w:spacing w:line="240" w:lineRule="auto"/>
              <w:rPr>
                <w:rFonts w:ascii="Times New Roman" w:hAnsi="Times New Roman"/>
                <w:sz w:val="24"/>
              </w:rPr>
            </w:pPr>
            <w:hyperlink r:id="rId37" w:history="1">
              <w:r w:rsidR="0037359D">
                <w:rPr>
                  <w:rFonts w:ascii="Times New Roman" w:hAnsi="Times New Roman"/>
                  <w:sz w:val="24"/>
                </w:rPr>
                <w:t>https://sustainability.bam.co.uk/case-studies/2015-07-21-seven-pancras-square</w:t>
              </w:r>
            </w:hyperlink>
          </w:p>
        </w:tc>
      </w:tr>
      <w:tr w:rsidR="00496804" w14:paraId="45D05C78"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75" w14:textId="77777777" w:rsidR="00496804" w:rsidRDefault="0037359D">
            <w:pPr>
              <w:spacing w:line="240" w:lineRule="auto"/>
              <w:rPr>
                <w:rFonts w:ascii="Times New Roman" w:hAnsi="Times New Roman"/>
                <w:sz w:val="24"/>
              </w:rPr>
            </w:pPr>
            <w:r>
              <w:rPr>
                <w:rFonts w:ascii="Times New Roman" w:hAnsi="Times New Roman"/>
                <w:sz w:val="24"/>
              </w:rPr>
              <w:t xml:space="preserve">Elliot Hudson College, Leeds (UK)–  Postojeća tvornička zgrada smještena u poslovnom parku izgrađenom 1982.g., prenamijenjena je u sveučilišni prostor koristeći načela kružnog gospodarstva. </w:t>
            </w:r>
          </w:p>
          <w:p w14:paraId="45D05C76" w14:textId="77777777" w:rsidR="00496804" w:rsidRDefault="0037359D">
            <w:pPr>
              <w:spacing w:line="240" w:lineRule="auto"/>
              <w:rPr>
                <w:rFonts w:ascii="Times New Roman" w:hAnsi="Times New Roman"/>
                <w:sz w:val="24"/>
              </w:rPr>
            </w:pPr>
            <w:r>
              <w:rPr>
                <w:rFonts w:ascii="Times New Roman" w:hAnsi="Times New Roman"/>
                <w:sz w:val="24"/>
              </w:rPr>
              <w:t xml:space="preserve">Kreativan i kvalitetan prostor za učenje zahtijevao je inovativna rješenja koja su obuhvaćala primjenu kružnog koncepta i lagane konstrukcije. Zgrada je prošla brojne intervencije i do </w:t>
            </w:r>
            <w:r>
              <w:rPr>
                <w:rFonts w:ascii="Times New Roman" w:hAnsi="Times New Roman"/>
                <w:sz w:val="24"/>
              </w:rPr>
              <w:lastRenderedPageBreak/>
              <w:t>nedavno je služila kao pozivni centar. Rušenje i nova gradnja ne bi bili najučinkovitija upotreba resursa u ovom primjeru stoga se tražilo drugačije rješenje. Zgrada je bila strukturalno pouzdana i dovoljno velika da ugosti nastavnu djelatnost. Ponovno su se koristili postojeći materijali, a mnogi građevinski elementi se mogu rastaviti za buduću ponovnu upotrebu ili recikliranje. Inovativno razmišljanje osiguralo je laganu, montažnu gradnju, s manje rasipanja resursa, uz minimalan utjecaj na okoliš i niže troškove proizvodnje.</w:t>
            </w:r>
          </w:p>
          <w:p w14:paraId="45D05C77" w14:textId="77777777" w:rsidR="00496804" w:rsidRDefault="004A10C1">
            <w:pPr>
              <w:spacing w:line="240" w:lineRule="auto"/>
              <w:rPr>
                <w:rFonts w:ascii="Times New Roman" w:hAnsi="Times New Roman"/>
                <w:sz w:val="24"/>
              </w:rPr>
            </w:pPr>
            <w:hyperlink r:id="rId38" w:history="1">
              <w:r w:rsidR="0037359D">
                <w:rPr>
                  <w:rFonts w:ascii="Times New Roman" w:hAnsi="Times New Roman"/>
                  <w:sz w:val="24"/>
                </w:rPr>
                <w:t>http://sustainability.bam.co.uk/case-studies/2018-01-08-elliot-hudson-college</w:t>
              </w:r>
            </w:hyperlink>
          </w:p>
        </w:tc>
      </w:tr>
      <w:tr w:rsidR="00496804" w14:paraId="45D05C7B"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79" w14:textId="77777777" w:rsidR="00496804" w:rsidRDefault="0037359D">
            <w:pPr>
              <w:spacing w:line="240" w:lineRule="auto"/>
              <w:rPr>
                <w:rFonts w:ascii="Times New Roman" w:hAnsi="Times New Roman"/>
                <w:sz w:val="24"/>
              </w:rPr>
            </w:pPr>
            <w:r>
              <w:rPr>
                <w:rFonts w:ascii="Times New Roman" w:hAnsi="Times New Roman"/>
                <w:sz w:val="24"/>
              </w:rPr>
              <w:lastRenderedPageBreak/>
              <w:t>Modularna autobusna stajališta u Barceloni – su podignute platforme koje olakšavaju dostupnost na autobusnim stajalištima. Platforma se sastoji od tipskih, međusobno povezanih jedinica, vanjskog ivičnjaka koji omogućuje povećanu vidljivost danju i noću i prijelaznih rešetki koje se prilagođavaju izvornom rubniku. Platforma je izrađena od visoko otporne, izdržljive, 100% reciklirane plastike dobivene iz obloga električnih kabela, cijevi, crijeva itd. Jednostavno se postavlja na postojeći kolnik uz minimalno ometanje pješaka i prometa.</w:t>
            </w:r>
          </w:p>
          <w:p w14:paraId="45D05C7A" w14:textId="77777777" w:rsidR="00496804" w:rsidRDefault="004A10C1">
            <w:pPr>
              <w:spacing w:line="240" w:lineRule="auto"/>
              <w:rPr>
                <w:rFonts w:ascii="Times New Roman" w:hAnsi="Times New Roman"/>
                <w:sz w:val="24"/>
              </w:rPr>
            </w:pPr>
            <w:hyperlink r:id="rId39" w:history="1">
              <w:r w:rsidR="0037359D">
                <w:rPr>
                  <w:rFonts w:ascii="Times New Roman" w:hAnsi="Times New Roman"/>
                  <w:sz w:val="24"/>
                </w:rPr>
                <w:t>https://www.citylab.com/transportation/2018/03/quick-easy-way-to-build-a-bus-stop-zicla/554873/</w:t>
              </w:r>
            </w:hyperlink>
          </w:p>
        </w:tc>
      </w:tr>
      <w:tr w:rsidR="00496804" w14:paraId="45D05C7E"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7C" w14:textId="77777777" w:rsidR="00496804" w:rsidRDefault="0037359D">
            <w:pPr>
              <w:spacing w:line="240" w:lineRule="auto"/>
              <w:rPr>
                <w:rFonts w:ascii="Times New Roman" w:hAnsi="Times New Roman"/>
                <w:sz w:val="24"/>
              </w:rPr>
            </w:pPr>
            <w:r>
              <w:rPr>
                <w:rFonts w:ascii="Times New Roman" w:hAnsi="Times New Roman"/>
                <w:sz w:val="24"/>
              </w:rPr>
              <w:t>Urban Resource Centri – Urbani resursni centri okupljaju široku zajednicu dionika, promičući kružnu potrošnju, sprečavanje nastanka otpada, ponovnu upotrebu i upravljanje kružnim resursima u gradovima. To su multifunkcionalna mjesta koja promiču kružnu ekonomiju na lokalnoj razini. U njima se pravilno upravlja hijerarhijom otpada, naglašavajući društvene, ekonomske i ekološke funkcije kružne ekonomije. Primjeri Urban Resource centara su: Guldminen – Copenhagen (Denmark), Vollebekk Fabrikker – Oslo ( Norway), Återbruket at Alelyckan Recycling Park – Gothenburg (Sweden), RLab – Porto (Portugal), Halle 2 – Munich(Germany), Mini recycling stations – Oslo (Norway), 48-er Tandler – Vienna( Austria), OPO’Lab – Porto (Portugal), CPU Slovenija – na više lokacija, De Kringwinkel – Flanders ( Belgium), Reparatur Netzwerk – Vienna (Austria).</w:t>
            </w:r>
          </w:p>
          <w:p w14:paraId="45D05C7D" w14:textId="77777777" w:rsidR="00496804" w:rsidRDefault="004A10C1">
            <w:pPr>
              <w:spacing w:line="240" w:lineRule="auto"/>
              <w:rPr>
                <w:rFonts w:ascii="Times New Roman" w:hAnsi="Times New Roman"/>
                <w:sz w:val="24"/>
              </w:rPr>
            </w:pPr>
            <w:hyperlink r:id="rId40" w:history="1">
              <w:r w:rsidR="0037359D">
                <w:rPr>
                  <w:rFonts w:ascii="Times New Roman" w:hAnsi="Times New Roman"/>
                  <w:sz w:val="24"/>
                </w:rPr>
                <w:t>https://ec.europa.eu/futurium/en/system/files/ged/classification_of_urban_resource_centres_0.pdf</w:t>
              </w:r>
            </w:hyperlink>
          </w:p>
        </w:tc>
      </w:tr>
    </w:tbl>
    <w:p w14:paraId="45D05C7F" w14:textId="77777777" w:rsidR="00496804" w:rsidRDefault="00496804">
      <w:pPr>
        <w:spacing w:line="240" w:lineRule="auto"/>
        <w:rPr>
          <w:rFonts w:ascii="Times New Roman" w:hAnsi="Times New Roman"/>
          <w:sz w:val="24"/>
        </w:rPr>
      </w:pPr>
    </w:p>
    <w:p w14:paraId="45D05C80"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tbl>
      <w:tblPr>
        <w:tblStyle w:val="ivopisnatablicapopisa6-isticanje11"/>
        <w:tblW w:w="0" w:type="auto"/>
        <w:tblLook w:val="04A0" w:firstRow="1" w:lastRow="0" w:firstColumn="1" w:lastColumn="0" w:noHBand="0" w:noVBand="1"/>
      </w:tblPr>
      <w:tblGrid>
        <w:gridCol w:w="9622"/>
      </w:tblGrid>
      <w:tr w:rsidR="00496804" w14:paraId="45D05C83"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DBE0F4" w:themeFill="accent1" w:themeFillTint="33"/>
          </w:tcPr>
          <w:p w14:paraId="45D05C81" w14:textId="77777777" w:rsidR="00496804" w:rsidRDefault="0037359D">
            <w:pPr>
              <w:spacing w:line="240" w:lineRule="auto"/>
              <w:rPr>
                <w:rStyle w:val="Hiperveza"/>
                <w:rFonts w:ascii="Times New Roman" w:hAnsi="Times New Roman"/>
                <w:b w:val="0"/>
                <w:bCs w:val="0"/>
                <w:sz w:val="24"/>
              </w:rPr>
            </w:pPr>
            <w:r>
              <w:rPr>
                <w:rStyle w:val="Hiperveza"/>
                <w:rFonts w:ascii="Times New Roman" w:hAnsi="Times New Roman"/>
                <w:sz w:val="24"/>
              </w:rPr>
              <w:lastRenderedPageBreak/>
              <w:t>URBACT</w:t>
            </w:r>
          </w:p>
          <w:p w14:paraId="45D05C82" w14:textId="77777777" w:rsidR="00496804" w:rsidRDefault="00496804">
            <w:pPr>
              <w:spacing w:line="240" w:lineRule="auto"/>
              <w:rPr>
                <w:rFonts w:ascii="Times New Roman" w:hAnsi="Times New Roman"/>
                <w:sz w:val="24"/>
              </w:rPr>
            </w:pPr>
          </w:p>
        </w:tc>
      </w:tr>
      <w:tr w:rsidR="00496804" w:rsidRPr="0031420A" w14:paraId="45D05C86"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84"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2ND CHANCE –  Ovoj je mreži gradova cilj bio aktiviranje napuštenih i nedovoljno iskorištenih gradskih prostora i zgrada (često smještenih u blizini središta grada). Takvi prostori prikladni su upravo za one funkcije koje su potrebne u gradu, a za koje je potrebno osigurati prostor. U okviru projekta implementirale su se ideje i novi modeli stanovanja kojima se takvi prostori mogu revitalizirati.</w:t>
            </w:r>
          </w:p>
          <w:p w14:paraId="45D05C85" w14:textId="77777777" w:rsidR="00496804" w:rsidRPr="0031420A" w:rsidRDefault="004A10C1">
            <w:pPr>
              <w:spacing w:line="240" w:lineRule="auto"/>
              <w:rPr>
                <w:rFonts w:ascii="Times New Roman" w:hAnsi="Times New Roman"/>
                <w:sz w:val="24"/>
              </w:rPr>
            </w:pPr>
            <w:hyperlink r:id="rId41" w:history="1">
              <w:r w:rsidR="0037359D" w:rsidRPr="0031420A">
                <w:rPr>
                  <w:rFonts w:ascii="Times New Roman" w:hAnsi="Times New Roman"/>
                  <w:sz w:val="24"/>
                </w:rPr>
                <w:t>http://urbact.eu/2nd-chance</w:t>
              </w:r>
            </w:hyperlink>
          </w:p>
        </w:tc>
      </w:tr>
      <w:tr w:rsidR="00496804" w:rsidRPr="0031420A" w14:paraId="45D05C89"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DBE0F4" w:themeFill="accent1" w:themeFillTint="33"/>
          </w:tcPr>
          <w:p w14:paraId="45D05C87"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REFILL – Mreža gradova je uspostavljena s ciljem definiranja mogućnosti za ponovnu uporabu praznih prostora kao pokretačke snage za inovacije na lokalnoj razini. Prostori su bili namijenjeni poduzetnicima, umjetnicima i inicijativama koji započinju sa djelovanjem. Takvi se pojedinci često suočavaju s različitim socijalnim izazovima, dok istovremeno stvaraju nove mogućnosti za društvene inovacije u gradovima. Cilj ove mreže je uključiti gradove koji su već eksperimentirali s konceptom privremene i ponovne uporabe slobodnih prostora i razvili alate za ostvarenje ciljeva, poput odgovarajuće regulative, fondova, financijskih instrumenata, razvojnih agencija, mreža, (digitalnih) platformi itd. Takva iskustva mogu služiti kao izvor inspiracije za inovacije i promjene u ostalim gradovima gdje privremena uporaba može djelovati kao pokretač i inkubator urbanog razvoja.</w:t>
            </w:r>
          </w:p>
          <w:p w14:paraId="45D05C88"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 xml:space="preserve">http://urbact.eu/Refill </w:t>
            </w:r>
            <w:hyperlink r:id="rId42" w:history="1">
              <w:r w:rsidRPr="0031420A">
                <w:rPr>
                  <w:rFonts w:ascii="Times New Roman" w:hAnsi="Times New Roman"/>
                  <w:sz w:val="24"/>
                </w:rPr>
                <w:t>https://www.ellenmacarthurfoundation.org/our-work/activities/ce100</w:t>
              </w:r>
            </w:hyperlink>
          </w:p>
        </w:tc>
      </w:tr>
      <w:tr w:rsidR="00496804" w:rsidRPr="0031420A" w14:paraId="45D05C8C"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8A"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SUB&gt;URBAN – Gradovi okupljeni u mreži sub&gt;urban proučavali su mogućnosti uređenja rubnih područja svoga grada kako bi se stvorilo održivije i privlačnije okruženje. Projekt je usredotočen na i) povećanje gustoće stanovništva unutar granica grada umjesto širenja urbanog teritorija; ii) pronalaženje novih praksi planiranja, procesa, instrumenata i partnerstva kako bi se postigao najbolji mogući lokalni ishod; iii) jačanje regionalne koordinacije između povijesnog grada, predgrađa i širih gradskih područja.</w:t>
            </w:r>
          </w:p>
          <w:p w14:paraId="45D05C8B"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 xml:space="preserve">http://urbact.eu/sub.urban </w:t>
            </w:r>
          </w:p>
        </w:tc>
      </w:tr>
    </w:tbl>
    <w:p w14:paraId="45D05C8D" w14:textId="77777777" w:rsidR="00496804" w:rsidRPr="0031420A" w:rsidRDefault="00496804">
      <w:pPr>
        <w:spacing w:line="240" w:lineRule="auto"/>
        <w:rPr>
          <w:rFonts w:ascii="Times New Roman" w:hAnsi="Times New Roman"/>
          <w:b/>
          <w:bCs/>
          <w:sz w:val="24"/>
        </w:rPr>
      </w:pPr>
    </w:p>
    <w:p w14:paraId="45D05C8E" w14:textId="77777777" w:rsidR="00496804" w:rsidRPr="0031420A" w:rsidRDefault="00496804">
      <w:pPr>
        <w:spacing w:line="240" w:lineRule="auto"/>
        <w:rPr>
          <w:rFonts w:ascii="Times New Roman" w:hAnsi="Times New Roman"/>
          <w:b/>
          <w:bCs/>
          <w:sz w:val="24"/>
        </w:rPr>
      </w:pPr>
    </w:p>
    <w:tbl>
      <w:tblPr>
        <w:tblStyle w:val="ivopisnatablicapopisa6-isticanje41"/>
        <w:tblW w:w="0" w:type="auto"/>
        <w:tblLook w:val="04A0" w:firstRow="1" w:lastRow="0" w:firstColumn="1" w:lastColumn="0" w:noHBand="0" w:noVBand="1"/>
      </w:tblPr>
      <w:tblGrid>
        <w:gridCol w:w="9622"/>
      </w:tblGrid>
      <w:tr w:rsidR="00496804" w:rsidRPr="0031420A" w14:paraId="45D05C91"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DEF5EE" w:themeFill="accent4" w:themeFillTint="33"/>
          </w:tcPr>
          <w:p w14:paraId="45D05C8F"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ISTRAŽIVAČKE PLATFORME</w:t>
            </w:r>
          </w:p>
          <w:p w14:paraId="45D05C90" w14:textId="77777777" w:rsidR="00496804" w:rsidRPr="0031420A" w:rsidRDefault="00496804">
            <w:pPr>
              <w:spacing w:line="240" w:lineRule="auto"/>
              <w:rPr>
                <w:rFonts w:ascii="Times New Roman" w:hAnsi="Times New Roman"/>
                <w:sz w:val="24"/>
              </w:rPr>
            </w:pPr>
          </w:p>
        </w:tc>
      </w:tr>
      <w:tr w:rsidR="00496804" w:rsidRPr="0031420A" w14:paraId="45D05C94"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92"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Buildings as Material Banks (BAMB) – projekt je razvijalo 8 europskih zemalja s ciljem promicanja promjena u građevinskom sektoru kroz kreiranje različitih kružnih rješenja, podizanje ukupne vrijednosti građevnog materijala, što dovodi do izravnog smanjenja nastanka građevnog otpada i manje uporabe izvornih sirovina. Projekt BAMB financira Europska komisija u sklopu programa Horizon 2020. - najvećeg EU programa istraživanja i inovacija</w:t>
            </w:r>
          </w:p>
          <w:p w14:paraId="45D05C93" w14:textId="77777777" w:rsidR="00496804" w:rsidRPr="0031420A" w:rsidRDefault="004A10C1">
            <w:pPr>
              <w:spacing w:line="240" w:lineRule="auto"/>
              <w:rPr>
                <w:rFonts w:ascii="Times New Roman" w:hAnsi="Times New Roman"/>
                <w:sz w:val="24"/>
              </w:rPr>
            </w:pPr>
            <w:hyperlink r:id="rId43" w:history="1">
              <w:r w:rsidR="0037359D" w:rsidRPr="0031420A">
                <w:rPr>
                  <w:rFonts w:ascii="Times New Roman" w:hAnsi="Times New Roman"/>
                  <w:sz w:val="24"/>
                </w:rPr>
                <w:t>https://www.bamb2020.eu/</w:t>
              </w:r>
            </w:hyperlink>
          </w:p>
        </w:tc>
      </w:tr>
      <w:tr w:rsidR="00496804" w:rsidRPr="0031420A" w14:paraId="45D05C97"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DEF5EE" w:themeFill="accent4" w:themeFillTint="33"/>
          </w:tcPr>
          <w:p w14:paraId="45D05C95"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Circular Economy 100 (CE100) – platforma zaklade Ellen MacArthur, koja služi kao prostor za učenje, razmjenu znanja i izgradnju novih pristupa za suradnju. Temeljem projekata ostvaruje se suradnja različitih stručnjaka koristeći znanje i resurse platforme CE100.</w:t>
            </w:r>
          </w:p>
          <w:p w14:paraId="45D05C96"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https://www.ellenmacarthurfoundation.org/our-work/activities/ce100</w:t>
            </w:r>
          </w:p>
        </w:tc>
      </w:tr>
    </w:tbl>
    <w:p w14:paraId="45D05C98" w14:textId="77777777" w:rsidR="00496804" w:rsidRDefault="00496804">
      <w:pPr>
        <w:spacing w:line="240" w:lineRule="auto"/>
        <w:rPr>
          <w:rFonts w:ascii="Times New Roman" w:hAnsi="Times New Roman"/>
          <w:sz w:val="24"/>
        </w:rPr>
      </w:pPr>
    </w:p>
    <w:p w14:paraId="45D05C99" w14:textId="77777777" w:rsidR="00496804" w:rsidRDefault="00496804">
      <w:pPr>
        <w:spacing w:line="240" w:lineRule="auto"/>
        <w:rPr>
          <w:rFonts w:ascii="Times New Roman" w:hAnsi="Times New Roman"/>
          <w:sz w:val="24"/>
        </w:rPr>
      </w:pPr>
    </w:p>
    <w:p w14:paraId="45D05C9A" w14:textId="77777777" w:rsidR="00496804" w:rsidRDefault="00496804">
      <w:pPr>
        <w:spacing w:line="240" w:lineRule="auto"/>
        <w:rPr>
          <w:rFonts w:ascii="Times New Roman" w:hAnsi="Times New Roman"/>
          <w:sz w:val="24"/>
        </w:rPr>
      </w:pPr>
    </w:p>
    <w:p w14:paraId="45D05C9B"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C9C"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44" w:name="_Toc51851643"/>
      <w:bookmarkStart w:id="145" w:name="_Hlk38113447"/>
      <w:r>
        <w:rPr>
          <w:rFonts w:ascii="Times New Roman" w:hAnsi="Times New Roman" w:cs="Times New Roman"/>
          <w:sz w:val="24"/>
          <w:szCs w:val="24"/>
        </w:rPr>
        <w:lastRenderedPageBreak/>
        <w:t>OPIS SREDNJOROČNIH RAZVOJNIH POTREBA I RAZVOJNIH POTENCIJALA</w:t>
      </w:r>
      <w:bookmarkEnd w:id="144"/>
    </w:p>
    <w:p w14:paraId="45D05C9D" w14:textId="77777777" w:rsidR="00496804" w:rsidRDefault="00496804">
      <w:pPr>
        <w:spacing w:line="240" w:lineRule="auto"/>
        <w:rPr>
          <w:rFonts w:ascii="Times New Roman" w:hAnsi="Times New Roman"/>
          <w:sz w:val="24"/>
        </w:rPr>
      </w:pPr>
    </w:p>
    <w:p w14:paraId="45D05C9E" w14:textId="77777777" w:rsidR="00496804" w:rsidRDefault="0037359D">
      <w:pPr>
        <w:pStyle w:val="Naslov2"/>
        <w:ind w:left="426" w:hanging="426"/>
        <w:rPr>
          <w:rFonts w:ascii="Times New Roman" w:hAnsi="Times New Roman" w:cs="Times New Roman"/>
          <w:color w:val="auto"/>
          <w:sz w:val="24"/>
          <w:szCs w:val="24"/>
        </w:rPr>
      </w:pPr>
      <w:bookmarkStart w:id="146" w:name="_Toc51851644"/>
      <w:r>
        <w:rPr>
          <w:rFonts w:ascii="Times New Roman" w:hAnsi="Times New Roman" w:cs="Times New Roman"/>
          <w:color w:val="auto"/>
          <w:sz w:val="24"/>
          <w:szCs w:val="24"/>
        </w:rPr>
        <w:t>IDENTIFIKACIJA RAZVOJNIH POTREBA</w:t>
      </w:r>
      <w:bookmarkEnd w:id="146"/>
    </w:p>
    <w:p w14:paraId="45D05C9F" w14:textId="77777777" w:rsidR="00496804" w:rsidRDefault="00496804">
      <w:pPr>
        <w:tabs>
          <w:tab w:val="left" w:pos="426"/>
        </w:tabs>
        <w:spacing w:line="240" w:lineRule="auto"/>
        <w:rPr>
          <w:rFonts w:ascii="Times New Roman" w:hAnsi="Times New Roman"/>
          <w:b/>
          <w:sz w:val="24"/>
        </w:rPr>
      </w:pPr>
      <w:bookmarkStart w:id="147" w:name="_Hlk38124354"/>
    </w:p>
    <w:p w14:paraId="45D05CA0" w14:textId="77777777" w:rsidR="00496804" w:rsidRDefault="0037359D">
      <w:pPr>
        <w:tabs>
          <w:tab w:val="left" w:pos="426"/>
        </w:tabs>
        <w:spacing w:line="240" w:lineRule="auto"/>
        <w:rPr>
          <w:rFonts w:ascii="Times New Roman" w:hAnsi="Times New Roman"/>
          <w:b/>
          <w:sz w:val="24"/>
        </w:rPr>
      </w:pPr>
      <w:r>
        <w:rPr>
          <w:rFonts w:ascii="Times New Roman" w:hAnsi="Times New Roman"/>
          <w:b/>
          <w:sz w:val="24"/>
        </w:rPr>
        <w:t>Globalne razvojne potrebe</w:t>
      </w:r>
    </w:p>
    <w:p w14:paraId="45D05CA1" w14:textId="3FB73E22" w:rsidR="00496804" w:rsidRDefault="0037359D">
      <w:pPr>
        <w:tabs>
          <w:tab w:val="left" w:pos="426"/>
        </w:tabs>
        <w:spacing w:line="240" w:lineRule="auto"/>
        <w:rPr>
          <w:rFonts w:ascii="Times New Roman" w:hAnsi="Times New Roman"/>
          <w:sz w:val="24"/>
        </w:rPr>
      </w:pPr>
      <w:r>
        <w:rPr>
          <w:rFonts w:ascii="Times New Roman" w:hAnsi="Times New Roman"/>
          <w:sz w:val="24"/>
        </w:rPr>
        <w:t xml:space="preserve">Očekuje se da će se globalna potrošnja materijala udvostručiti u sljedećih </w:t>
      </w:r>
      <w:r w:rsidR="00896AA6">
        <w:rPr>
          <w:rFonts w:ascii="Times New Roman" w:hAnsi="Times New Roman"/>
          <w:sz w:val="24"/>
        </w:rPr>
        <w:t>40</w:t>
      </w:r>
      <w:r>
        <w:rPr>
          <w:rFonts w:ascii="Times New Roman" w:hAnsi="Times New Roman"/>
          <w:sz w:val="24"/>
        </w:rPr>
        <w:t xml:space="preserve"> godina, dok bi se proizvodnja otpada do 2050. godine trebala povećati za 70%. Neutralno, resursno učinkovito i konkurentno gospodarstvo može dati odgovor kako smanjiti eksploataciju resursa i nastanak otpada.</w:t>
      </w:r>
    </w:p>
    <w:p w14:paraId="45D05CA2" w14:textId="77777777" w:rsidR="00496804" w:rsidRDefault="00496804">
      <w:pPr>
        <w:spacing w:line="240" w:lineRule="auto"/>
        <w:rPr>
          <w:rFonts w:ascii="Times New Roman" w:hAnsi="Times New Roman"/>
          <w:sz w:val="24"/>
        </w:rPr>
      </w:pPr>
    </w:p>
    <w:p w14:paraId="45D05CA3" w14:textId="77777777" w:rsidR="00496804" w:rsidRDefault="0037359D">
      <w:pPr>
        <w:spacing w:line="240" w:lineRule="auto"/>
        <w:rPr>
          <w:rFonts w:ascii="Times New Roman" w:hAnsi="Times New Roman"/>
          <w:b/>
          <w:sz w:val="24"/>
        </w:rPr>
      </w:pPr>
      <w:r>
        <w:rPr>
          <w:rFonts w:ascii="Times New Roman" w:hAnsi="Times New Roman"/>
          <w:b/>
          <w:sz w:val="24"/>
        </w:rPr>
        <w:t xml:space="preserve">Lokalne razvojne potrebe </w:t>
      </w:r>
    </w:p>
    <w:p w14:paraId="45D05CA4" w14:textId="77777777" w:rsidR="00496804" w:rsidRDefault="0037359D">
      <w:pPr>
        <w:spacing w:line="240" w:lineRule="auto"/>
        <w:rPr>
          <w:rFonts w:ascii="Times New Roman" w:hAnsi="Times New Roman"/>
          <w:sz w:val="24"/>
        </w:rPr>
      </w:pPr>
      <w:r>
        <w:rPr>
          <w:rFonts w:ascii="Times New Roman" w:hAnsi="Times New Roman"/>
          <w:bCs/>
          <w:sz w:val="24"/>
        </w:rPr>
        <w:t>Proizlaze iz potrebe za smanjenjem crpljenja velikih količina resursa u građevinarstvu, posebno sektoru zgradarstva, potom smanjenja nastanka građevnog otpada i smanjenja emisija stakleničkih plinova. Smanjenje emisija ostvaruje se kroz povećanje učinkovitosti materijala, proizvodnju građevnih proizvoda te izgradnju i obnovu zgrada.</w:t>
      </w:r>
      <w:r>
        <w:rPr>
          <w:rFonts w:ascii="Times New Roman" w:hAnsi="Times New Roman"/>
          <w:sz w:val="24"/>
        </w:rPr>
        <w:t xml:space="preserve"> Lokalne razvojne potrebe mogu se prepoznati u </w:t>
      </w:r>
      <w:r>
        <w:rPr>
          <w:rFonts w:ascii="Times New Roman" w:hAnsi="Times New Roman"/>
          <w:bCs/>
          <w:sz w:val="24"/>
        </w:rPr>
        <w:t>nedostatnom održavanju stambenog i nestambenog fonda zgrada</w:t>
      </w:r>
      <w:r>
        <w:rPr>
          <w:rFonts w:ascii="Times New Roman" w:hAnsi="Times New Roman"/>
          <w:sz w:val="24"/>
        </w:rPr>
        <w:t xml:space="preserve"> i </w:t>
      </w:r>
      <w:r>
        <w:rPr>
          <w:rFonts w:ascii="Times New Roman" w:hAnsi="Times New Roman"/>
          <w:bCs/>
          <w:sz w:val="24"/>
        </w:rPr>
        <w:t>niskoj stopi oporabe građevnog otpada.</w:t>
      </w:r>
      <w:r>
        <w:rPr>
          <w:rFonts w:ascii="Times New Roman" w:hAnsi="Times New Roman"/>
          <w:b/>
          <w:bCs/>
          <w:sz w:val="24"/>
        </w:rPr>
        <w:t xml:space="preserve"> </w:t>
      </w:r>
      <w:r>
        <w:rPr>
          <w:rFonts w:ascii="Times New Roman" w:hAnsi="Times New Roman"/>
          <w:sz w:val="24"/>
        </w:rPr>
        <w:t>Cjeloviti odgovor na razvojne potrebe potrebno je tražiti sagledavanjem zgrada kroz gospodarske i okolišne aspekte u njihovom cjeloživotnom vijeku.</w:t>
      </w:r>
    </w:p>
    <w:p w14:paraId="45D05CA5" w14:textId="77777777" w:rsidR="00496804" w:rsidRDefault="00496804">
      <w:pPr>
        <w:spacing w:line="240" w:lineRule="auto"/>
        <w:rPr>
          <w:rFonts w:ascii="Times New Roman" w:hAnsi="Times New Roman"/>
          <w:sz w:val="24"/>
        </w:rPr>
      </w:pPr>
    </w:p>
    <w:p w14:paraId="45D05CA6" w14:textId="77777777" w:rsidR="00496804" w:rsidRDefault="0037359D">
      <w:pPr>
        <w:spacing w:line="240" w:lineRule="auto"/>
        <w:rPr>
          <w:rFonts w:ascii="Times New Roman" w:hAnsi="Times New Roman"/>
          <w:sz w:val="24"/>
        </w:rPr>
      </w:pPr>
      <w:r>
        <w:rPr>
          <w:rFonts w:ascii="Times New Roman" w:hAnsi="Times New Roman"/>
          <w:sz w:val="24"/>
        </w:rPr>
        <w:t xml:space="preserve">Kako se primjena kružnog gospodarenja bitno razlikuje uvjetno o statusu korištenja zgrada, postojeća izgradnja može se grupirati u dvije skupine: nekorišteni i korišteni prostori i zgrade. </w:t>
      </w:r>
      <w:r>
        <w:rPr>
          <w:rFonts w:ascii="Times New Roman" w:hAnsi="Times New Roman"/>
          <w:sz w:val="24"/>
          <w:u w:color="0076BA"/>
        </w:rPr>
        <w:t>Iako je jasan prioritet nužnosti obnove postojećih prostora i zgrada, ne smijemo zanemariti značajnu mogućnost primjene kod planiranja i projektiranja novih zgrada, jer se kod njih može postići najveća razina učinkovite kružnosti.</w:t>
      </w:r>
      <w:r>
        <w:rPr>
          <w:rFonts w:ascii="Times New Roman" w:hAnsi="Times New Roman"/>
          <w:sz w:val="24"/>
        </w:rPr>
        <w:t xml:space="preserve"> Razvojne potrebe projekta stoga se sagledavaju prema tipologiji projekta (gradnja i prostorno planiranje po načelu kružnog gospodarenja, revitalizacija i obnova nekorištenih prostora i zgrada, kružna obnova i reprogramiranje korištenih prostora i zgrada).</w:t>
      </w:r>
    </w:p>
    <w:p w14:paraId="45D05CA7" w14:textId="77777777" w:rsidR="00496804" w:rsidRDefault="00496804">
      <w:pPr>
        <w:spacing w:line="240" w:lineRule="auto"/>
        <w:rPr>
          <w:rFonts w:ascii="Times New Roman" w:hAnsi="Times New Roman"/>
          <w:sz w:val="24"/>
        </w:rPr>
      </w:pPr>
    </w:p>
    <w:p w14:paraId="45D05CA8" w14:textId="611160E0" w:rsidR="00496804" w:rsidRDefault="0037359D">
      <w:pPr>
        <w:tabs>
          <w:tab w:val="left" w:pos="174"/>
        </w:tabs>
        <w:spacing w:line="240" w:lineRule="auto"/>
        <w:rPr>
          <w:rFonts w:ascii="Times New Roman" w:hAnsi="Times New Roman"/>
          <w:bCs/>
          <w:sz w:val="24"/>
        </w:rPr>
      </w:pPr>
      <w:r>
        <w:rPr>
          <w:rFonts w:ascii="Times New Roman" w:hAnsi="Times New Roman"/>
          <w:bCs/>
          <w:sz w:val="24"/>
        </w:rPr>
        <w:t>Nedostatak cjelovitih podataka o stanju nacionalnog fonda zgrada predstavlja izazov za detaljnu identifikaciju i analizu potreba za koju je potrebno uspostaviti objedinjeni sustav digitalnog evidentiranja i praćenja prostora i zgrada.</w:t>
      </w:r>
      <w:r>
        <w:rPr>
          <w:rFonts w:ascii="Times New Roman" w:hAnsi="Times New Roman"/>
          <w:b/>
          <w:bCs/>
          <w:sz w:val="24"/>
        </w:rPr>
        <w:t xml:space="preserve"> </w:t>
      </w:r>
      <w:r>
        <w:rPr>
          <w:rFonts w:ascii="Times New Roman" w:hAnsi="Times New Roman"/>
          <w:sz w:val="24"/>
        </w:rPr>
        <w:t>Takav r</w:t>
      </w:r>
      <w:r>
        <w:rPr>
          <w:rFonts w:ascii="Times New Roman" w:hAnsi="Times New Roman"/>
          <w:bCs/>
          <w:sz w:val="24"/>
        </w:rPr>
        <w:t xml:space="preserve">egistar bi utvrdio stvarno početno stanje te omogućio kvalitetno praćenje Programom definiranih mjera. </w:t>
      </w:r>
      <w:r>
        <w:rPr>
          <w:rFonts w:ascii="Times New Roman" w:hAnsi="Times New Roman"/>
          <w:sz w:val="24"/>
        </w:rPr>
        <w:t xml:space="preserve">ISPU, kojeg </w:t>
      </w:r>
      <w:r>
        <w:rPr>
          <w:rFonts w:ascii="Times New Roman" w:hAnsi="Times New Roman"/>
          <w:bCs/>
          <w:sz w:val="24"/>
        </w:rPr>
        <w:t xml:space="preserve">uspostavlja, razvija i vodi ministarstvo </w:t>
      </w:r>
      <w:r>
        <w:rPr>
          <w:rFonts w:ascii="Times New Roman" w:hAnsi="Times New Roman"/>
          <w:sz w:val="24"/>
        </w:rPr>
        <w:t>nadležno za poslove prostornoga uređenja, graditeljstva i državne imovine</w:t>
      </w:r>
      <w:r>
        <w:rPr>
          <w:rFonts w:ascii="Times New Roman" w:hAnsi="Times New Roman"/>
          <w:bCs/>
          <w:sz w:val="24"/>
        </w:rPr>
        <w:t>,</w:t>
      </w:r>
      <w:r>
        <w:rPr>
          <w:rFonts w:ascii="Times New Roman" w:hAnsi="Times New Roman"/>
          <w:sz w:val="24"/>
        </w:rPr>
        <w:t xml:space="preserve"> nudi takve m</w:t>
      </w:r>
      <w:r>
        <w:rPr>
          <w:rFonts w:ascii="Times New Roman" w:hAnsi="Times New Roman"/>
          <w:bCs/>
          <w:sz w:val="24"/>
        </w:rPr>
        <w:t>ogućnosti</w:t>
      </w:r>
      <w:r>
        <w:rPr>
          <w:rFonts w:ascii="Times New Roman" w:hAnsi="Times New Roman"/>
          <w:sz w:val="24"/>
        </w:rPr>
        <w:t>.</w:t>
      </w:r>
      <w:r>
        <w:rPr>
          <w:rFonts w:ascii="Times New Roman" w:hAnsi="Times New Roman"/>
          <w:bCs/>
          <w:sz w:val="24"/>
        </w:rPr>
        <w:t xml:space="preserve"> ISPU je državni interoperabilni i multiplatformni sustav za unos, verifikaciju, javnu objavu i razmjenu prostornih podataka za potrebe izrade, donošenja, provedbe i nadzora prostornih planova, trajnog praćenja stanja u prostoru i području prostornog uređenja, izrade izvješća o stanju u prostoru te obavljanje poslovnih procesa propisanih Zakonom o prostornom uređenju i podzakonskim propisima. Zadaća ISPU je na jednom mjestu prikupiti prostorne planove svih razina i podatke o intervencijama u prostoru, prikazati i učiniti ih dostupnima svim zainteresiranim stranama, sve kako bi se omogućio pregled prostornih podataka iz drugih izvora relevantnih za prostorno planiranje i praćenje stanja u prostoru te olakšalo dobivanje informacije o mogućem načinu korištenja prostora radi ubrzavanja postupka izdavanja dozvola za gradnju. U cilju inventarizacije, vrednovanja i praćenja stanja </w:t>
      </w:r>
      <w:r>
        <w:rPr>
          <w:rFonts w:ascii="Times New Roman" w:hAnsi="Times New Roman"/>
          <w:bCs/>
          <w:i/>
          <w:sz w:val="24"/>
        </w:rPr>
        <w:t>brownfield</w:t>
      </w:r>
      <w:r>
        <w:rPr>
          <w:rFonts w:ascii="Times New Roman" w:hAnsi="Times New Roman"/>
          <w:bCs/>
          <w:sz w:val="24"/>
        </w:rPr>
        <w:t xml:space="preserve"> područja u RH unutar ISPU sustava uspostavljen je modul </w:t>
      </w:r>
      <w:r>
        <w:rPr>
          <w:rFonts w:ascii="Times New Roman" w:hAnsi="Times New Roman"/>
          <w:iCs/>
          <w:sz w:val="24"/>
        </w:rPr>
        <w:t>Registar brownfield područja u Republici Hrvatskoj</w:t>
      </w:r>
      <w:r>
        <w:rPr>
          <w:rFonts w:ascii="Times New Roman" w:hAnsi="Times New Roman"/>
          <w:bCs/>
          <w:sz w:val="24"/>
        </w:rPr>
        <w:t>. Ovlašteni korisnici ovog</w:t>
      </w:r>
      <w:r w:rsidR="00B334AD">
        <w:rPr>
          <w:rFonts w:ascii="Times New Roman" w:hAnsi="Times New Roman"/>
          <w:bCs/>
          <w:sz w:val="24"/>
        </w:rPr>
        <w:t>a</w:t>
      </w:r>
      <w:r>
        <w:rPr>
          <w:rFonts w:ascii="Times New Roman" w:hAnsi="Times New Roman"/>
          <w:bCs/>
          <w:sz w:val="24"/>
        </w:rPr>
        <w:t xml:space="preserve"> modula su: djelatnici ministarstva nadležnog </w:t>
      </w:r>
      <w:r>
        <w:rPr>
          <w:rFonts w:ascii="Times New Roman" w:hAnsi="Times New Roman"/>
          <w:sz w:val="24"/>
        </w:rPr>
        <w:t>za poslove prostornoga uređenja, graditeljstva i državne imovine</w:t>
      </w:r>
      <w:r>
        <w:rPr>
          <w:rFonts w:ascii="Times New Roman" w:hAnsi="Times New Roman"/>
          <w:bCs/>
          <w:sz w:val="24"/>
        </w:rPr>
        <w:t>, zavodi za prostorno uređenje, razvojne agencije, JLS, ministarstva i agencije. Unos podataka u Registar brownfield područja</w:t>
      </w:r>
      <w:r>
        <w:rPr>
          <w:rFonts w:ascii="Times New Roman" w:hAnsi="Times New Roman"/>
          <w:bCs/>
          <w:i/>
          <w:iCs/>
          <w:sz w:val="24"/>
        </w:rPr>
        <w:t xml:space="preserve"> </w:t>
      </w:r>
      <w:r>
        <w:rPr>
          <w:rFonts w:ascii="Times New Roman" w:hAnsi="Times New Roman"/>
          <w:bCs/>
          <w:sz w:val="24"/>
        </w:rPr>
        <w:t xml:space="preserve">potrebno je sustavno poticati, a nakon uspostave metodologije utvrditi će se dodatne potrebe vezane uz </w:t>
      </w:r>
      <w:r>
        <w:rPr>
          <w:rFonts w:ascii="Times New Roman" w:hAnsi="Times New Roman"/>
          <w:sz w:val="24"/>
        </w:rPr>
        <w:t xml:space="preserve">nadogradnju Registra potrebnim funkcionalnostima i/ili izradu novog modula. </w:t>
      </w:r>
    </w:p>
    <w:p w14:paraId="45D05CA9" w14:textId="77777777" w:rsidR="00496804" w:rsidRDefault="00496804">
      <w:pPr>
        <w:tabs>
          <w:tab w:val="left" w:pos="174"/>
        </w:tabs>
        <w:spacing w:line="240" w:lineRule="auto"/>
        <w:rPr>
          <w:rFonts w:ascii="Times New Roman" w:hAnsi="Times New Roman"/>
          <w:bCs/>
          <w:sz w:val="24"/>
        </w:rPr>
      </w:pPr>
    </w:p>
    <w:p w14:paraId="45D05CAA"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 xml:space="preserve">Razvoj </w:t>
      </w:r>
      <w:r>
        <w:rPr>
          <w:rFonts w:ascii="Times New Roman" w:hAnsi="Times New Roman"/>
          <w:sz w:val="24"/>
        </w:rPr>
        <w:t>analize ugljičnog otiska</w:t>
      </w:r>
      <w:r>
        <w:rPr>
          <w:rFonts w:ascii="Times New Roman" w:hAnsi="Times New Roman"/>
          <w:bCs/>
          <w:sz w:val="24"/>
        </w:rPr>
        <w:t xml:space="preserve"> zgrada trebao bi osigurati novi nacionalni standard za izračun cjeloživotnog ugljičnog otiska zgrada. Cjelovit i standardizirani uvid nužan je kako bi se moglo </w:t>
      </w:r>
      <w:r>
        <w:rPr>
          <w:rFonts w:ascii="Times New Roman" w:hAnsi="Times New Roman"/>
          <w:bCs/>
          <w:sz w:val="24"/>
        </w:rPr>
        <w:lastRenderedPageBreak/>
        <w:t>utvrditi specifičnosti RH u odnosu na europski i međunarodni kontekst i preciznije definirati izazove u pripremi i provedbi.</w:t>
      </w:r>
    </w:p>
    <w:p w14:paraId="45D05CAB" w14:textId="77777777" w:rsidR="00496804" w:rsidRDefault="00496804">
      <w:pPr>
        <w:tabs>
          <w:tab w:val="left" w:pos="174"/>
        </w:tabs>
        <w:spacing w:line="240" w:lineRule="auto"/>
        <w:rPr>
          <w:rFonts w:ascii="Times New Roman" w:hAnsi="Times New Roman"/>
          <w:bCs/>
          <w:sz w:val="24"/>
        </w:rPr>
      </w:pPr>
    </w:p>
    <w:p w14:paraId="45D05CA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Budući investitori ili vlasnici nekretnina, projektanti, izvođači i ostali sudionici u gradnji odgovore na izazove s kojima se susreću prilikom projektiranja, gradnje ili obnove grada mogli bi pronaći u </w:t>
      </w:r>
      <w:r>
        <w:rPr>
          <w:rFonts w:ascii="Times New Roman" w:hAnsi="Times New Roman" w:cs="Times New Roman"/>
          <w:bCs/>
          <w:sz w:val="24"/>
          <w:szCs w:val="24"/>
        </w:rPr>
        <w:t xml:space="preserve">smjernicama za planiranje prostora </w:t>
      </w:r>
      <w:r>
        <w:rPr>
          <w:rFonts w:ascii="Times New Roman" w:hAnsi="Times New Roman" w:cs="Times New Roman"/>
          <w:sz w:val="24"/>
          <w:szCs w:val="24"/>
        </w:rPr>
        <w:t>i</w:t>
      </w:r>
      <w:r>
        <w:rPr>
          <w:rFonts w:ascii="Times New Roman" w:hAnsi="Times New Roman" w:cs="Times New Roman"/>
          <w:bCs/>
          <w:sz w:val="24"/>
          <w:szCs w:val="24"/>
        </w:rPr>
        <w:t xml:space="preserve"> smjernicama za projektiranje, gradnju i održavanje zgrada prema načelima kružnog gospodarenja</w:t>
      </w:r>
      <w:r>
        <w:rPr>
          <w:rFonts w:ascii="Times New Roman" w:hAnsi="Times New Roman" w:cs="Times New Roman"/>
          <w:sz w:val="24"/>
          <w:szCs w:val="24"/>
        </w:rPr>
        <w:t xml:space="preserve">. Osnova za izradu smjernica bi bila detaljna analiza stanja uz odgovarajuću </w:t>
      </w:r>
      <w:r>
        <w:rPr>
          <w:rFonts w:ascii="Times New Roman" w:hAnsi="Times New Roman" w:cs="Times New Roman"/>
          <w:bCs/>
          <w:sz w:val="24"/>
          <w:szCs w:val="24"/>
        </w:rPr>
        <w:t>metodologiju za nekorištene zgrade, monofunkcionalne zone napuštenih prostora i zgrada i polifunkcionalne zone napuštenih prostora i zgrada</w:t>
      </w:r>
      <w:r>
        <w:rPr>
          <w:rFonts w:ascii="Times New Roman" w:hAnsi="Times New Roman" w:cs="Times New Roman"/>
          <w:sz w:val="24"/>
          <w:szCs w:val="24"/>
        </w:rPr>
        <w:t>.</w:t>
      </w:r>
    </w:p>
    <w:p w14:paraId="45D05CAD" w14:textId="77777777" w:rsidR="00496804" w:rsidRDefault="00496804">
      <w:pPr>
        <w:tabs>
          <w:tab w:val="left" w:pos="174"/>
        </w:tabs>
        <w:spacing w:line="240" w:lineRule="auto"/>
        <w:rPr>
          <w:rFonts w:ascii="Times New Roman" w:hAnsi="Times New Roman"/>
          <w:sz w:val="24"/>
          <w:lang w:eastAsia="hr-HR"/>
        </w:rPr>
      </w:pPr>
    </w:p>
    <w:p w14:paraId="45D05CAE"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 xml:space="preserve">Potrebno je potaknuti </w:t>
      </w:r>
      <w:r>
        <w:rPr>
          <w:rFonts w:ascii="Times New Roman" w:hAnsi="Times New Roman"/>
          <w:sz w:val="24"/>
        </w:rPr>
        <w:t>znanstveno-istraživačke projekte</w:t>
      </w:r>
      <w:r>
        <w:rPr>
          <w:rFonts w:ascii="Times New Roman" w:hAnsi="Times New Roman"/>
          <w:bCs/>
          <w:sz w:val="24"/>
        </w:rPr>
        <w:t xml:space="preserve"> kako bi se razvile inovacije potrebne za razvoj metoda, analitičkih alata, algoritamskih sustava, baza podataka i modela za cjelovitu procjenu učinaka na okoliš kružnog gospodarenja prostora i zgrada. </w:t>
      </w:r>
    </w:p>
    <w:p w14:paraId="45D05CAF" w14:textId="77777777" w:rsidR="00496804" w:rsidRDefault="00496804">
      <w:pPr>
        <w:tabs>
          <w:tab w:val="left" w:pos="174"/>
        </w:tabs>
        <w:spacing w:line="240" w:lineRule="auto"/>
        <w:rPr>
          <w:rFonts w:ascii="Times New Roman" w:hAnsi="Times New Roman"/>
          <w:bCs/>
          <w:sz w:val="24"/>
        </w:rPr>
      </w:pPr>
    </w:p>
    <w:p w14:paraId="45D05CB0"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Uspješnost primjene kružnog gospodarenja prostorom i zgradama ovisi o dinamici donošenja europskih strateških dokumenata s kojima će biti potrebno usklađivati nacionalni</w:t>
      </w:r>
      <w:r>
        <w:rPr>
          <w:rFonts w:ascii="Times New Roman" w:hAnsi="Times New Roman"/>
          <w:b/>
          <w:sz w:val="24"/>
        </w:rPr>
        <w:t xml:space="preserve"> </w:t>
      </w:r>
      <w:r>
        <w:rPr>
          <w:rFonts w:ascii="Times New Roman" w:hAnsi="Times New Roman"/>
          <w:sz w:val="24"/>
        </w:rPr>
        <w:t>strateški</w:t>
      </w:r>
      <w:r>
        <w:rPr>
          <w:rFonts w:ascii="Times New Roman" w:hAnsi="Times New Roman"/>
          <w:b/>
          <w:sz w:val="24"/>
        </w:rPr>
        <w:t xml:space="preserve"> </w:t>
      </w:r>
      <w:r>
        <w:rPr>
          <w:rFonts w:ascii="Times New Roman" w:hAnsi="Times New Roman"/>
          <w:bCs/>
          <w:sz w:val="24"/>
        </w:rPr>
        <w:t xml:space="preserve">i prema potrebi </w:t>
      </w:r>
      <w:r>
        <w:rPr>
          <w:rFonts w:ascii="Times New Roman" w:hAnsi="Times New Roman"/>
          <w:sz w:val="24"/>
        </w:rPr>
        <w:t xml:space="preserve">zakonodavni okvir, </w:t>
      </w:r>
      <w:r>
        <w:rPr>
          <w:rFonts w:ascii="Times New Roman" w:hAnsi="Times New Roman"/>
          <w:bCs/>
          <w:sz w:val="24"/>
        </w:rPr>
        <w:t>kao i strateške dokumente regionalne i lokalne razine.</w:t>
      </w:r>
    </w:p>
    <w:p w14:paraId="45D05CB1" w14:textId="77777777" w:rsidR="00496804" w:rsidRDefault="00496804">
      <w:pPr>
        <w:tabs>
          <w:tab w:val="left" w:pos="174"/>
        </w:tabs>
        <w:spacing w:line="240" w:lineRule="auto"/>
        <w:rPr>
          <w:rFonts w:ascii="Times New Roman" w:hAnsi="Times New Roman"/>
          <w:bCs/>
          <w:sz w:val="24"/>
        </w:rPr>
      </w:pPr>
    </w:p>
    <w:p w14:paraId="45D05CB2" w14:textId="77777777" w:rsidR="00496804" w:rsidRDefault="0037359D">
      <w:pPr>
        <w:spacing w:line="240" w:lineRule="auto"/>
        <w:rPr>
          <w:rFonts w:ascii="Times New Roman" w:hAnsi="Times New Roman"/>
          <w:sz w:val="24"/>
        </w:rPr>
      </w:pPr>
      <w:r>
        <w:rPr>
          <w:rFonts w:ascii="Times New Roman" w:hAnsi="Times New Roman"/>
          <w:sz w:val="24"/>
        </w:rPr>
        <w:t xml:space="preserve">Razvojne potrebe u implementaciji kružnog gospodarenja prostorom i zgradama na razini JLS (grad ili općina) mogu se utvrditi kroz predložene sadržaje: javni i društveni sadržaji, ugostiteljsko-turistički sadržaji, gospodarski sadržaji, sportski i rekreacijski sadržaji, sadržaji javnog zelenila </w:t>
      </w:r>
      <w:r>
        <w:rPr>
          <w:rFonts w:ascii="Times New Roman" w:hAnsi="Times New Roman"/>
          <w:bCs/>
          <w:sz w:val="24"/>
        </w:rPr>
        <w:t xml:space="preserve">dječje igralište, hortikulturno uređenje i parkovi, </w:t>
      </w:r>
      <w:r>
        <w:rPr>
          <w:rFonts w:ascii="Times New Roman" w:hAnsi="Times New Roman"/>
          <w:sz w:val="24"/>
        </w:rPr>
        <w:t xml:space="preserve">stambeni sadržaji, </w:t>
      </w:r>
      <w:r>
        <w:rPr>
          <w:rFonts w:ascii="Times New Roman" w:hAnsi="Times New Roman"/>
          <w:bCs/>
          <w:sz w:val="24"/>
        </w:rPr>
        <w:t>stambene jedinice, reciklažna dvorišta.</w:t>
      </w:r>
    </w:p>
    <w:p w14:paraId="45D05CB3" w14:textId="77777777" w:rsidR="00496804" w:rsidRDefault="00496804">
      <w:pPr>
        <w:spacing w:line="240" w:lineRule="auto"/>
        <w:rPr>
          <w:rFonts w:ascii="Times New Roman" w:hAnsi="Times New Roman"/>
          <w:sz w:val="24"/>
        </w:rPr>
      </w:pPr>
    </w:p>
    <w:bookmarkEnd w:id="147"/>
    <w:p w14:paraId="45D05CB4" w14:textId="77777777" w:rsidR="00496804" w:rsidRDefault="00496804">
      <w:pPr>
        <w:spacing w:line="240" w:lineRule="auto"/>
        <w:rPr>
          <w:rFonts w:ascii="Times New Roman" w:hAnsi="Times New Roman"/>
          <w:sz w:val="24"/>
        </w:rPr>
      </w:pPr>
    </w:p>
    <w:p w14:paraId="45D05CB5" w14:textId="77777777" w:rsidR="00496804" w:rsidRDefault="0037359D">
      <w:pPr>
        <w:pStyle w:val="Naslov2"/>
        <w:ind w:left="426" w:hanging="426"/>
        <w:rPr>
          <w:rFonts w:ascii="Times New Roman" w:hAnsi="Times New Roman" w:cs="Times New Roman"/>
          <w:color w:val="auto"/>
          <w:sz w:val="24"/>
          <w:szCs w:val="24"/>
        </w:rPr>
      </w:pPr>
      <w:bookmarkStart w:id="148" w:name="_Toc51851645"/>
      <w:r>
        <w:rPr>
          <w:rFonts w:ascii="Times New Roman" w:hAnsi="Times New Roman" w:cs="Times New Roman"/>
          <w:color w:val="auto"/>
          <w:sz w:val="24"/>
          <w:szCs w:val="24"/>
        </w:rPr>
        <w:t>RAZVOJNI POTENCIJALI (MOGUĆNOSTI)</w:t>
      </w:r>
      <w:bookmarkEnd w:id="148"/>
    </w:p>
    <w:p w14:paraId="45D05CB6" w14:textId="77777777" w:rsidR="00496804" w:rsidRDefault="00496804">
      <w:pPr>
        <w:spacing w:line="240" w:lineRule="auto"/>
        <w:rPr>
          <w:rFonts w:ascii="Times New Roman" w:hAnsi="Times New Roman"/>
          <w:sz w:val="24"/>
        </w:rPr>
      </w:pPr>
    </w:p>
    <w:p w14:paraId="45D05CB7" w14:textId="77777777" w:rsidR="00496804" w:rsidRDefault="0037359D">
      <w:pPr>
        <w:spacing w:line="240" w:lineRule="auto"/>
        <w:rPr>
          <w:rFonts w:ascii="Times New Roman" w:hAnsi="Times New Roman"/>
          <w:sz w:val="24"/>
        </w:rPr>
      </w:pPr>
      <w:r>
        <w:rPr>
          <w:rFonts w:ascii="Times New Roman" w:hAnsi="Times New Roman"/>
          <w:sz w:val="24"/>
        </w:rPr>
        <w:t xml:space="preserve">Povezivanje politike kružnog gospodarenja prostorom i zgradama s politikama ostalih sektora kroz međuresornu suradnju nužan je preduvjet tranzicije s linearnog na kružni model gospodarstva. Značajan doprinos razvoju kapaciteta na nacionalnoj, regionalnoj i lokalnoj razini predstavlja </w:t>
      </w:r>
      <w:r>
        <w:rPr>
          <w:rFonts w:ascii="Times New Roman" w:hAnsi="Times New Roman"/>
          <w:bCs/>
          <w:sz w:val="24"/>
        </w:rPr>
        <w:t>razvoj platformi</w:t>
      </w:r>
      <w:r>
        <w:rPr>
          <w:rFonts w:ascii="Times New Roman" w:hAnsi="Times New Roman"/>
          <w:sz w:val="24"/>
        </w:rPr>
        <w:t xml:space="preserve"> za razmjenu iskustava, znanja i informacija, kao i pridruživanje postojećim inicijativama.</w:t>
      </w:r>
    </w:p>
    <w:p w14:paraId="45D05CB8" w14:textId="77777777" w:rsidR="00496804" w:rsidRDefault="00496804">
      <w:pPr>
        <w:spacing w:line="240" w:lineRule="auto"/>
        <w:rPr>
          <w:rFonts w:ascii="Times New Roman" w:hAnsi="Times New Roman"/>
          <w:sz w:val="24"/>
        </w:rPr>
      </w:pPr>
    </w:p>
    <w:p w14:paraId="45D05CB9" w14:textId="77777777" w:rsidR="00496804" w:rsidRDefault="0037359D">
      <w:pPr>
        <w:spacing w:line="240" w:lineRule="auto"/>
        <w:rPr>
          <w:rFonts w:ascii="Times New Roman" w:hAnsi="Times New Roman"/>
          <w:sz w:val="24"/>
        </w:rPr>
      </w:pPr>
      <w:r>
        <w:rPr>
          <w:rFonts w:ascii="Times New Roman" w:hAnsi="Times New Roman"/>
          <w:sz w:val="24"/>
        </w:rPr>
        <w:t xml:space="preserve">Kružno gospodarenje prostorom i zgradama trebalo bi ponuditi rješenja koja će biti vidljiva u izgrađenom okolišu. Najopterećeniji dio predstavljaju </w:t>
      </w:r>
      <w:r>
        <w:rPr>
          <w:rFonts w:ascii="Times New Roman" w:hAnsi="Times New Roman"/>
          <w:bCs/>
          <w:sz w:val="24"/>
        </w:rPr>
        <w:t>zgrade s utvrđenim najlošijim svojstvima</w:t>
      </w:r>
      <w:r>
        <w:rPr>
          <w:rFonts w:ascii="Times New Roman" w:hAnsi="Times New Roman"/>
          <w:sz w:val="24"/>
        </w:rPr>
        <w:t xml:space="preserve"> (zgrade energetskog razreda D ili lošijeg u kontinentalnom dijelu Hrvatske, odnosno C ili lošijeg u primorskoj Hrvatskoj) koje u pravilu ne zadovoljavaju minimalne zahtjeve u pogledu temeljnih zahtjeva za građevine. Radi se o više od 30% zgrada koje su sada najbolji potencijal za buduće projekte kružnog gospodarenja. Skupini zgrada koje su tijekom vremena izgubila temeljna svojstva za zgrade pridružuju se i zgrade pogođene neprihvatljivim rizičnim djelovanjima odnosno potresima, požarima i poplavama.</w:t>
      </w:r>
    </w:p>
    <w:p w14:paraId="45D05CBA" w14:textId="77777777" w:rsidR="00496804" w:rsidRDefault="00496804">
      <w:pPr>
        <w:spacing w:line="240" w:lineRule="auto"/>
        <w:rPr>
          <w:rFonts w:ascii="Times New Roman" w:hAnsi="Times New Roman"/>
          <w:sz w:val="24"/>
        </w:rPr>
      </w:pPr>
    </w:p>
    <w:p w14:paraId="45D05CBB" w14:textId="54B3554B" w:rsidR="00496804" w:rsidRDefault="0037359D">
      <w:pPr>
        <w:spacing w:line="240" w:lineRule="auto"/>
        <w:rPr>
          <w:rFonts w:ascii="Times New Roman" w:hAnsi="Times New Roman"/>
          <w:sz w:val="24"/>
        </w:rPr>
      </w:pPr>
      <w:r>
        <w:rPr>
          <w:rFonts w:ascii="Times New Roman" w:hAnsi="Times New Roman"/>
          <w:sz w:val="24"/>
          <w:shd w:val="clear" w:color="auto" w:fill="FFFFFF"/>
        </w:rPr>
        <w:t xml:space="preserve">Podaci o proizvedenom </w:t>
      </w:r>
      <w:r>
        <w:rPr>
          <w:rFonts w:ascii="Times New Roman" w:hAnsi="Times New Roman"/>
          <w:bCs/>
          <w:sz w:val="24"/>
          <w:shd w:val="clear" w:color="auto" w:fill="FFFFFF"/>
        </w:rPr>
        <w:t>građevnom otpadu</w:t>
      </w:r>
      <w:r>
        <w:rPr>
          <w:rFonts w:ascii="Times New Roman" w:hAnsi="Times New Roman"/>
          <w:sz w:val="24"/>
          <w:shd w:val="clear" w:color="auto" w:fill="FFFFFF"/>
        </w:rPr>
        <w:t xml:space="preserve"> nisu još uvijek u potpunosti pouzdani i sveobuhvatni, no poznato je da on predstavlja jedan od prioritetnih tokova otpada s visokim potencijalom za oporabu i recikliranje. U prilog idu projekcije koje pokazuju da je ukupna količina proizvedenog građevnog otpada u razdoblju 2016. – 2022. iznosila 32,2 milijuna tona.</w:t>
      </w:r>
      <w:r>
        <w:rPr>
          <w:rStyle w:val="Referencafusnote"/>
          <w:rFonts w:ascii="Times New Roman" w:eastAsia="Trebuchet MS" w:hAnsi="Times New Roman"/>
          <w:sz w:val="24"/>
        </w:rPr>
        <w:t xml:space="preserve"> </w:t>
      </w:r>
      <w:r>
        <w:rPr>
          <w:rFonts w:ascii="Times New Roman" w:hAnsi="Times New Roman"/>
          <w:sz w:val="24"/>
        </w:rPr>
        <w:t xml:space="preserve"> Kružno gospodarenje prostorom i zgradama uključuje aktivnosti koje dovode u konačnici do smanjenja nastanka građevnog otpada, a razmatra i potiče razvoj njihove ponovne uporabe.</w:t>
      </w:r>
    </w:p>
    <w:p w14:paraId="45D05CBC" w14:textId="77777777" w:rsidR="00496804" w:rsidRDefault="00496804">
      <w:pPr>
        <w:spacing w:line="240" w:lineRule="auto"/>
        <w:rPr>
          <w:rFonts w:ascii="Times New Roman" w:hAnsi="Times New Roman"/>
          <w:sz w:val="24"/>
        </w:rPr>
      </w:pPr>
    </w:p>
    <w:p w14:paraId="45D05CBD" w14:textId="77777777" w:rsidR="00496804" w:rsidRDefault="0037359D">
      <w:pPr>
        <w:spacing w:line="240" w:lineRule="auto"/>
        <w:rPr>
          <w:rFonts w:ascii="Times New Roman" w:hAnsi="Times New Roman"/>
          <w:sz w:val="24"/>
        </w:rPr>
      </w:pPr>
      <w:r>
        <w:rPr>
          <w:rFonts w:ascii="Times New Roman" w:hAnsi="Times New Roman"/>
          <w:sz w:val="24"/>
        </w:rPr>
        <w:t xml:space="preserve">Na regionalnoj i lokalnoj razini više od polovine ispitanih iz Anketnog istraživanja tvrdi da u njihovoj JLS postoje prostori i zgrade reguliranog vlasništva koji se mogu uključiti u Program razvoja KG, a 73,24% smatra da postoji interes za uključivanje u Program. U smislu namjene najveći interes </w:t>
      </w:r>
      <w:r>
        <w:rPr>
          <w:rFonts w:ascii="Times New Roman" w:hAnsi="Times New Roman"/>
          <w:sz w:val="24"/>
        </w:rPr>
        <w:lastRenderedPageBreak/>
        <w:t>pokazan je za javne i društvene sadržaje (administrativni sadržaji, ambulanta, centar za mlade, centar udruga, depo muzeja, dom za starije i nemoćne, društveni centar, edukacijski centar, istraživački institut, kulturni centar, kulturno-informativni centar, multifunkcionalna dvorana, multimedijalni sadržaji, muzej, obrazovno-edukacijski sadržaji, polivalentna dvorana, prostori za udruge, škola, vatrogasni dom, zgrada uprave, itd.), a kroz model kružnog gospodarenja prostorom i zgradama takva potreba bi se mogla zadovoljiti unutar postojećih nekorištenih zgrada.</w:t>
      </w:r>
    </w:p>
    <w:p w14:paraId="45D05CBE" w14:textId="77777777" w:rsidR="00496804" w:rsidRDefault="00496804">
      <w:pPr>
        <w:spacing w:line="240" w:lineRule="auto"/>
        <w:jc w:val="left"/>
        <w:rPr>
          <w:rFonts w:ascii="Times New Roman" w:hAnsi="Times New Roman"/>
          <w:sz w:val="24"/>
        </w:rPr>
      </w:pPr>
    </w:p>
    <w:p w14:paraId="45D05CBF" w14:textId="77777777" w:rsidR="00496804" w:rsidRDefault="00496804">
      <w:pPr>
        <w:spacing w:line="240" w:lineRule="auto"/>
        <w:jc w:val="left"/>
        <w:rPr>
          <w:rFonts w:ascii="Times New Roman" w:hAnsi="Times New Roman"/>
          <w:sz w:val="24"/>
        </w:rPr>
      </w:pPr>
    </w:p>
    <w:p w14:paraId="45D05CC0" w14:textId="3AAAE9D7" w:rsidR="00496804" w:rsidRDefault="0037359D">
      <w:pPr>
        <w:pStyle w:val="Naslov2"/>
        <w:ind w:left="426" w:hanging="426"/>
        <w:rPr>
          <w:rFonts w:ascii="Times New Roman" w:hAnsi="Times New Roman" w:cs="Times New Roman"/>
          <w:color w:val="auto"/>
          <w:sz w:val="24"/>
          <w:szCs w:val="24"/>
        </w:rPr>
      </w:pPr>
      <w:bookmarkStart w:id="149" w:name="_Toc51851646"/>
      <w:r>
        <w:rPr>
          <w:rFonts w:ascii="Times New Roman" w:hAnsi="Times New Roman" w:cs="Times New Roman"/>
          <w:color w:val="auto"/>
          <w:sz w:val="24"/>
          <w:szCs w:val="24"/>
        </w:rPr>
        <w:t>IDENTIFIKACIJA IZAZOVA</w:t>
      </w:r>
      <w:bookmarkEnd w:id="149"/>
    </w:p>
    <w:p w14:paraId="45D05CC1" w14:textId="77777777" w:rsidR="00496804" w:rsidRDefault="00496804">
      <w:pPr>
        <w:spacing w:line="240" w:lineRule="auto"/>
        <w:rPr>
          <w:rFonts w:ascii="Times New Roman" w:hAnsi="Times New Roman"/>
          <w:sz w:val="24"/>
        </w:rPr>
      </w:pPr>
    </w:p>
    <w:p w14:paraId="45D05CC2" w14:textId="77777777" w:rsidR="00496804" w:rsidRDefault="0037359D">
      <w:pPr>
        <w:spacing w:line="240" w:lineRule="auto"/>
        <w:rPr>
          <w:rFonts w:ascii="Times New Roman" w:hAnsi="Times New Roman"/>
          <w:sz w:val="24"/>
        </w:rPr>
      </w:pPr>
      <w:r>
        <w:rPr>
          <w:rFonts w:ascii="Times New Roman" w:hAnsi="Times New Roman"/>
          <w:sz w:val="24"/>
        </w:rPr>
        <w:t>Provedba Programa razvoja KG ovisi o specifičnom prostornom položaju i njegovim karakteristikama, o obilježjima lokalne zajednice poput organiziranosti, kvalitete i dinamičnosti stručnih kadrova te materijalnom stanju lokalnog gospodarstva.</w:t>
      </w:r>
    </w:p>
    <w:p w14:paraId="45D05CC3" w14:textId="77777777" w:rsidR="00496804" w:rsidRDefault="00496804">
      <w:pPr>
        <w:spacing w:line="240" w:lineRule="auto"/>
        <w:rPr>
          <w:rFonts w:ascii="Times New Roman" w:hAnsi="Times New Roman"/>
          <w:sz w:val="24"/>
        </w:rPr>
      </w:pPr>
    </w:p>
    <w:p w14:paraId="45D05CC4" w14:textId="77777777" w:rsidR="00496804" w:rsidRDefault="0037359D">
      <w:pPr>
        <w:spacing w:line="240" w:lineRule="auto"/>
        <w:rPr>
          <w:rFonts w:ascii="Times New Roman" w:hAnsi="Times New Roman"/>
          <w:sz w:val="24"/>
        </w:rPr>
      </w:pPr>
      <w:r>
        <w:rPr>
          <w:rFonts w:ascii="Times New Roman" w:hAnsi="Times New Roman"/>
          <w:sz w:val="24"/>
        </w:rPr>
        <w:t xml:space="preserve">Na moguće zahvate u prostoru koji, uz neizgrađeni, obuhvaćaju i izgrađeni dio građevinskih područja naselja u kojima je potreban neki od vidova kružne obnove nekorištenih, zapuštenih, nedovoljno ili neadekvatno korištenih zgrada i prostora utječu </w:t>
      </w:r>
      <w:r>
        <w:rPr>
          <w:rFonts w:ascii="Times New Roman" w:hAnsi="Times New Roman"/>
          <w:bCs/>
          <w:sz w:val="24"/>
        </w:rPr>
        <w:t>troškovi i vrijeme izrade</w:t>
      </w:r>
      <w:r>
        <w:rPr>
          <w:rFonts w:ascii="Times New Roman" w:hAnsi="Times New Roman"/>
          <w:b/>
          <w:bCs/>
          <w:sz w:val="24"/>
        </w:rPr>
        <w:t xml:space="preserve">. </w:t>
      </w:r>
      <w:r>
        <w:rPr>
          <w:rFonts w:ascii="Times New Roman" w:hAnsi="Times New Roman"/>
          <w:sz w:val="24"/>
        </w:rPr>
        <w:t xml:space="preserve">Trenutno primjenjivani model izračuna troškova, bez uvažavanja svih aspekata održivosti zahvata u prostoru, i dalje procjenjuje da su troškovi obnove u značajnijoj mjeri veći od nove izgradnje i greenfield investicija. Dodatan izazov čini i potreba za sanacijom tla, koja je preduvjet za prenamjenu i revitalizaciju dijela </w:t>
      </w:r>
      <w:r>
        <w:rPr>
          <w:rFonts w:ascii="Times New Roman" w:hAnsi="Times New Roman"/>
          <w:i/>
          <w:sz w:val="24"/>
        </w:rPr>
        <w:t>brownfield</w:t>
      </w:r>
      <w:r>
        <w:rPr>
          <w:rFonts w:ascii="Times New Roman" w:hAnsi="Times New Roman"/>
          <w:sz w:val="24"/>
        </w:rPr>
        <w:t xml:space="preserve"> područja, a koja nerijetko iziskuje značajna financijska sredstva. Financijski sektor nove projekte poput ovih u kružnom gospodarenju ocjenjuje vrlo rizičnim.</w:t>
      </w:r>
    </w:p>
    <w:p w14:paraId="45D05CC5" w14:textId="77777777" w:rsidR="00496804" w:rsidRDefault="00496804">
      <w:pPr>
        <w:spacing w:line="240" w:lineRule="auto"/>
        <w:rPr>
          <w:rFonts w:ascii="Times New Roman" w:hAnsi="Times New Roman"/>
          <w:sz w:val="24"/>
        </w:rPr>
      </w:pPr>
    </w:p>
    <w:p w14:paraId="45D05CC6" w14:textId="77777777" w:rsidR="00496804" w:rsidRDefault="0037359D">
      <w:pPr>
        <w:spacing w:line="240" w:lineRule="auto"/>
        <w:rPr>
          <w:rFonts w:ascii="Times New Roman" w:hAnsi="Times New Roman"/>
          <w:sz w:val="24"/>
        </w:rPr>
      </w:pPr>
      <w:r>
        <w:rPr>
          <w:rFonts w:ascii="Times New Roman" w:hAnsi="Times New Roman"/>
          <w:sz w:val="24"/>
        </w:rPr>
        <w:t xml:space="preserve">Ponekad je pokretač stanja napuštenosti rezultat </w:t>
      </w:r>
      <w:r>
        <w:rPr>
          <w:rFonts w:ascii="Times New Roman" w:hAnsi="Times New Roman"/>
          <w:bCs/>
          <w:sz w:val="24"/>
        </w:rPr>
        <w:t>neriješenih imovinsko-pravnih odnosa</w:t>
      </w:r>
      <w:r>
        <w:rPr>
          <w:rFonts w:ascii="Times New Roman" w:hAnsi="Times New Roman"/>
          <w:sz w:val="24"/>
        </w:rPr>
        <w:t xml:space="preserve"> u zemljišnim knjigama. Rješenje treba tražiti u definiranju javnog interesa i osiguranju financijskih sredstava koji omogućuju njihovo razrješavanje.</w:t>
      </w:r>
    </w:p>
    <w:p w14:paraId="45D05CC7" w14:textId="77777777" w:rsidR="00496804" w:rsidRDefault="00496804">
      <w:pPr>
        <w:spacing w:line="240" w:lineRule="auto"/>
        <w:rPr>
          <w:rFonts w:ascii="Times New Roman" w:hAnsi="Times New Roman"/>
          <w:sz w:val="24"/>
        </w:rPr>
      </w:pPr>
    </w:p>
    <w:p w14:paraId="45D05CC8" w14:textId="77777777" w:rsidR="00496804" w:rsidRDefault="0037359D">
      <w:pPr>
        <w:spacing w:line="240" w:lineRule="auto"/>
        <w:rPr>
          <w:rFonts w:ascii="Times New Roman" w:hAnsi="Times New Roman"/>
          <w:sz w:val="24"/>
        </w:rPr>
      </w:pPr>
      <w:r>
        <w:rPr>
          <w:rFonts w:ascii="Times New Roman" w:hAnsi="Times New Roman"/>
          <w:bCs/>
          <w:sz w:val="24"/>
        </w:rPr>
        <w:t>Zakonske prepreke</w:t>
      </w:r>
      <w:r>
        <w:rPr>
          <w:rFonts w:ascii="Times New Roman" w:hAnsi="Times New Roman"/>
          <w:sz w:val="24"/>
        </w:rPr>
        <w:t xml:space="preserve"> čini nedostatak obaveznih pokazatelja ekološkog učinka zgrada koje je potrebno integrirati u postupke javne nabave i zakonodavni okvir RH kada se radi o javnim zgradama u RH, a što bi moglo utjecati na početak implementacije.</w:t>
      </w:r>
    </w:p>
    <w:p w14:paraId="45D05CC9" w14:textId="77777777" w:rsidR="00496804" w:rsidRDefault="00496804">
      <w:pPr>
        <w:spacing w:line="240" w:lineRule="auto"/>
        <w:rPr>
          <w:rFonts w:ascii="Times New Roman" w:hAnsi="Times New Roman"/>
          <w:sz w:val="24"/>
        </w:rPr>
      </w:pPr>
    </w:p>
    <w:p w14:paraId="45D05CCA" w14:textId="77777777" w:rsidR="00496804" w:rsidRDefault="0037359D">
      <w:pPr>
        <w:spacing w:line="240" w:lineRule="auto"/>
        <w:rPr>
          <w:rFonts w:ascii="Times New Roman" w:hAnsi="Times New Roman"/>
          <w:sz w:val="24"/>
        </w:rPr>
      </w:pPr>
      <w:r>
        <w:rPr>
          <w:rFonts w:ascii="Times New Roman" w:hAnsi="Times New Roman"/>
          <w:bCs/>
          <w:sz w:val="24"/>
        </w:rPr>
        <w:t>Nedostatak znanja i iskustva stručnjaka</w:t>
      </w:r>
      <w:r>
        <w:rPr>
          <w:rFonts w:ascii="Times New Roman" w:hAnsi="Times New Roman"/>
          <w:sz w:val="24"/>
        </w:rPr>
        <w:t xml:space="preserve"> pri izradi kvalitetne programske i tehničke dokumentacije koje je potrebno educirati na različitim razinama – unaprjeđenjem nastave na visokoškolskim ustanovama iz područja održivosti, organiziranjem radionica strukovnih udruženja, izradom priručnika (s primjerima tehničkih rješenja i očekivanim rezultatima/dobitima) i sl. </w:t>
      </w:r>
    </w:p>
    <w:p w14:paraId="45D05CCB" w14:textId="77777777" w:rsidR="00496804" w:rsidRDefault="00496804">
      <w:pPr>
        <w:spacing w:line="240" w:lineRule="auto"/>
        <w:rPr>
          <w:rFonts w:ascii="Times New Roman" w:hAnsi="Times New Roman"/>
          <w:sz w:val="24"/>
        </w:rPr>
      </w:pPr>
    </w:p>
    <w:p w14:paraId="45D05CCC" w14:textId="77777777" w:rsidR="00496804" w:rsidRDefault="0037359D">
      <w:pPr>
        <w:tabs>
          <w:tab w:val="left" w:pos="426"/>
        </w:tabs>
        <w:spacing w:line="240" w:lineRule="auto"/>
        <w:rPr>
          <w:rFonts w:ascii="Times New Roman" w:hAnsi="Times New Roman"/>
          <w:sz w:val="24"/>
        </w:rPr>
      </w:pPr>
      <w:r>
        <w:rPr>
          <w:rFonts w:ascii="Times New Roman" w:hAnsi="Times New Roman"/>
          <w:sz w:val="24"/>
        </w:rPr>
        <w:t xml:space="preserve">Nedovoljna </w:t>
      </w:r>
      <w:r>
        <w:rPr>
          <w:rFonts w:ascii="Times New Roman" w:hAnsi="Times New Roman"/>
          <w:bCs/>
          <w:sz w:val="24"/>
        </w:rPr>
        <w:t>informiranost o prednostima i dugoročnim koristima kružnog gospodarenja prostorom i zgradama</w:t>
      </w:r>
      <w:r>
        <w:rPr>
          <w:rFonts w:ascii="Times New Roman" w:hAnsi="Times New Roman"/>
          <w:sz w:val="24"/>
        </w:rPr>
        <w:t>. Podizanje svijesti i informiranosti dugotrajan je proces, no dugoročno može doprinijeti do porasta podrške za projekte kružnog gospodarenja te potaknuti donositelje odluka i investitore na pokretanje takvih.</w:t>
      </w:r>
    </w:p>
    <w:p w14:paraId="45D05CCD" w14:textId="77777777" w:rsidR="00496804" w:rsidRDefault="00496804">
      <w:pPr>
        <w:spacing w:line="240" w:lineRule="auto"/>
        <w:rPr>
          <w:rFonts w:ascii="Times New Roman" w:hAnsi="Times New Roman"/>
          <w:sz w:val="24"/>
        </w:rPr>
      </w:pPr>
    </w:p>
    <w:p w14:paraId="45D05CCE" w14:textId="77777777" w:rsidR="00496804" w:rsidRDefault="0037359D">
      <w:pPr>
        <w:spacing w:line="240" w:lineRule="auto"/>
        <w:rPr>
          <w:rFonts w:ascii="Times New Roman" w:hAnsi="Times New Roman"/>
          <w:sz w:val="24"/>
        </w:rPr>
      </w:pPr>
      <w:r>
        <w:rPr>
          <w:rFonts w:ascii="Times New Roman" w:hAnsi="Times New Roman"/>
          <w:sz w:val="24"/>
        </w:rPr>
        <w:t xml:space="preserve">Kao preduvjet za rješavanje navedenih izazova može se izdvojiti </w:t>
      </w:r>
      <w:r>
        <w:rPr>
          <w:rFonts w:ascii="Times New Roman" w:hAnsi="Times New Roman"/>
          <w:bCs/>
          <w:sz w:val="24"/>
        </w:rPr>
        <w:t>definiranje i praćenje pokazatelja ugljičnog otiska zgrada</w:t>
      </w:r>
      <w:r>
        <w:rPr>
          <w:rFonts w:ascii="Times New Roman" w:hAnsi="Times New Roman"/>
          <w:sz w:val="24"/>
        </w:rPr>
        <w:t xml:space="preserve"> kako bi se jasno i nedvosmisleno moglo definirati postojeće stanje i pratiti napredak u provedbi mjera te osigurati transparentnost rada u komunikaciji sa širom javnosti. </w:t>
      </w:r>
    </w:p>
    <w:p w14:paraId="45D05CCF" w14:textId="77777777" w:rsidR="00496804" w:rsidRDefault="00496804">
      <w:pPr>
        <w:spacing w:line="240" w:lineRule="auto"/>
        <w:rPr>
          <w:rFonts w:ascii="Times New Roman" w:hAnsi="Times New Roman"/>
          <w:sz w:val="24"/>
        </w:rPr>
      </w:pPr>
    </w:p>
    <w:p w14:paraId="45D05CD1" w14:textId="28E772FB" w:rsidR="00496804" w:rsidRDefault="0037359D" w:rsidP="00430006">
      <w:pPr>
        <w:tabs>
          <w:tab w:val="left" w:pos="426"/>
        </w:tabs>
        <w:spacing w:line="240" w:lineRule="auto"/>
        <w:rPr>
          <w:rFonts w:ascii="Times New Roman" w:hAnsi="Times New Roman"/>
          <w:sz w:val="24"/>
        </w:rPr>
      </w:pPr>
      <w:r>
        <w:rPr>
          <w:rFonts w:ascii="Times New Roman" w:hAnsi="Times New Roman"/>
          <w:bCs/>
          <w:sz w:val="24"/>
        </w:rPr>
        <w:t>Daljnji uspjeh će ovisiti i o</w:t>
      </w:r>
      <w:r>
        <w:rPr>
          <w:rFonts w:ascii="Times New Roman" w:hAnsi="Times New Roman"/>
          <w:b/>
          <w:sz w:val="24"/>
        </w:rPr>
        <w:t xml:space="preserve"> </w:t>
      </w:r>
      <w:r>
        <w:rPr>
          <w:rFonts w:ascii="Times New Roman" w:hAnsi="Times New Roman"/>
          <w:sz w:val="24"/>
        </w:rPr>
        <w:t>koordinaciji između različitih resora</w:t>
      </w:r>
      <w:r w:rsidR="00115D92">
        <w:rPr>
          <w:rFonts w:ascii="Times New Roman" w:hAnsi="Times New Roman"/>
          <w:sz w:val="24"/>
        </w:rPr>
        <w:t>, kao npr. između resora prostornog</w:t>
      </w:r>
      <w:r w:rsidR="007610BC">
        <w:rPr>
          <w:rFonts w:ascii="Times New Roman" w:hAnsi="Times New Roman"/>
          <w:sz w:val="24"/>
        </w:rPr>
        <w:t>a</w:t>
      </w:r>
      <w:r w:rsidR="00115D92">
        <w:rPr>
          <w:rFonts w:ascii="Times New Roman" w:hAnsi="Times New Roman"/>
          <w:sz w:val="24"/>
        </w:rPr>
        <w:t xml:space="preserve"> uređenja, graditeljstva i državne imovine i resora </w:t>
      </w:r>
      <w:r w:rsidR="004336CE">
        <w:rPr>
          <w:rFonts w:ascii="Times New Roman" w:hAnsi="Times New Roman"/>
          <w:sz w:val="24"/>
        </w:rPr>
        <w:t>održivog razvoja</w:t>
      </w:r>
      <w:r>
        <w:rPr>
          <w:rFonts w:ascii="Times New Roman" w:hAnsi="Times New Roman"/>
          <w:sz w:val="24"/>
        </w:rPr>
        <w:t xml:space="preserve"> </w:t>
      </w:r>
      <w:r w:rsidR="0058364F">
        <w:rPr>
          <w:rFonts w:ascii="Times New Roman" w:hAnsi="Times New Roman"/>
          <w:sz w:val="24"/>
        </w:rPr>
        <w:t xml:space="preserve">u </w:t>
      </w:r>
      <w:r>
        <w:rPr>
          <w:rFonts w:ascii="Times New Roman" w:hAnsi="Times New Roman"/>
          <w:sz w:val="24"/>
        </w:rPr>
        <w:t xml:space="preserve">realizaciji složenijih projekata </w:t>
      </w:r>
      <w:r w:rsidR="000C6A7A">
        <w:rPr>
          <w:rFonts w:ascii="Times New Roman" w:hAnsi="Times New Roman"/>
          <w:sz w:val="24"/>
        </w:rPr>
        <w:t>kružnog gospodarenja pros</w:t>
      </w:r>
      <w:r w:rsidR="002007C2">
        <w:rPr>
          <w:rFonts w:ascii="Times New Roman" w:hAnsi="Times New Roman"/>
          <w:sz w:val="24"/>
        </w:rPr>
        <w:t xml:space="preserve">torom i zgradama i </w:t>
      </w:r>
      <w:r>
        <w:rPr>
          <w:rFonts w:ascii="Times New Roman" w:hAnsi="Times New Roman"/>
          <w:sz w:val="24"/>
        </w:rPr>
        <w:t>zelene infrastrukture (kao npr. sanacija odlagališta otpada, napuštena eksploatacijska područja, opasna klizišta, zaštita od buke)</w:t>
      </w:r>
      <w:r>
        <w:rPr>
          <w:rFonts w:ascii="Times New Roman" w:eastAsia="Calibri" w:hAnsi="Times New Roman"/>
          <w:sz w:val="24"/>
        </w:rPr>
        <w:t>.</w:t>
      </w:r>
      <w:r>
        <w:rPr>
          <w:rFonts w:ascii="Times New Roman" w:hAnsi="Times New Roman"/>
          <w:sz w:val="24"/>
        </w:rPr>
        <w:br w:type="page"/>
      </w:r>
    </w:p>
    <w:p w14:paraId="45D05CD2" w14:textId="77777777" w:rsidR="00496804" w:rsidRDefault="0037359D">
      <w:pPr>
        <w:pStyle w:val="Naslov2"/>
        <w:ind w:left="426" w:hanging="426"/>
        <w:rPr>
          <w:rFonts w:ascii="Times New Roman" w:hAnsi="Times New Roman" w:cs="Times New Roman"/>
          <w:color w:val="auto"/>
          <w:sz w:val="24"/>
          <w:szCs w:val="24"/>
        </w:rPr>
      </w:pPr>
      <w:bookmarkStart w:id="150" w:name="_Toc51851647"/>
      <w:r>
        <w:rPr>
          <w:rFonts w:ascii="Times New Roman" w:hAnsi="Times New Roman" w:cs="Times New Roman"/>
          <w:color w:val="auto"/>
          <w:sz w:val="24"/>
          <w:szCs w:val="24"/>
        </w:rPr>
        <w:lastRenderedPageBreak/>
        <w:t>SWOT ANALIZA</w:t>
      </w:r>
      <w:bookmarkEnd w:id="150"/>
    </w:p>
    <w:p w14:paraId="45D05CD3" w14:textId="77777777" w:rsidR="00496804" w:rsidRDefault="00496804">
      <w:pPr>
        <w:spacing w:line="240" w:lineRule="auto"/>
        <w:rPr>
          <w:rFonts w:ascii="Times New Roman" w:hAnsi="Times New Roman"/>
          <w:sz w:val="24"/>
        </w:rPr>
      </w:pPr>
    </w:p>
    <w:p w14:paraId="45D05CD4" w14:textId="77777777" w:rsidR="00496804" w:rsidRDefault="0037359D">
      <w:pPr>
        <w:tabs>
          <w:tab w:val="left" w:pos="426"/>
        </w:tabs>
        <w:spacing w:line="240" w:lineRule="auto"/>
        <w:rPr>
          <w:rFonts w:ascii="Times New Roman" w:hAnsi="Times New Roman"/>
          <w:sz w:val="24"/>
        </w:rPr>
      </w:pPr>
      <w:bookmarkStart w:id="151" w:name="_Hlk38121680"/>
      <w:r>
        <w:rPr>
          <w:rFonts w:ascii="Times New Roman" w:hAnsi="Times New Roman"/>
          <w:sz w:val="24"/>
        </w:rPr>
        <w:t>Izrađena je SWOT analiza kojom su utvrđene ključne snage, slabosti, prilike i prijetnje za mogućnost razvoja kružnog gospodarenja prostorom i zgradama u RH. Cilj SWOT analize je pojasniti informacije dobivene analizom stanja, utvrđivanjem snaga, slabosti, prilika i prijetnji te prepoznati razvojne potrebe te potencijale. Slabosti i prijetnje analiziraju se u kontekstu razvojnih potreba, a snage i prilike u kontekstu razvojnih potencijala. Budući da je Program razvoja KG usmjeren na multisektorsku analizu, provedene su SWOT analize posebno za planiranje i gradnju novih zgrada u skladu s kružnim gospodarstvom, a posebno za obnovu postojećih zgrada u skladu s kružnim gospodarstvom</w:t>
      </w:r>
      <w:bookmarkEnd w:id="151"/>
      <w:r>
        <w:rPr>
          <w:rFonts w:ascii="Times New Roman" w:hAnsi="Times New Roman"/>
          <w:sz w:val="24"/>
        </w:rPr>
        <w:t>.</w:t>
      </w:r>
    </w:p>
    <w:p w14:paraId="45D05CD5" w14:textId="77777777" w:rsidR="00496804" w:rsidRDefault="00496804">
      <w:pPr>
        <w:spacing w:line="240" w:lineRule="auto"/>
        <w:rPr>
          <w:rFonts w:ascii="Times New Roman" w:hAnsi="Times New Roman"/>
          <w:sz w:val="24"/>
        </w:rPr>
      </w:pPr>
    </w:p>
    <w:p w14:paraId="45D05CD6"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12. SWOT analiza</w:t>
      </w:r>
    </w:p>
    <w:tbl>
      <w:tblPr>
        <w:tblStyle w:val="Reetkatablice"/>
        <w:tblW w:w="5000" w:type="pct"/>
        <w:tblLook w:val="04A0" w:firstRow="1" w:lastRow="0" w:firstColumn="1" w:lastColumn="0" w:noHBand="0" w:noVBand="1"/>
      </w:tblPr>
      <w:tblGrid>
        <w:gridCol w:w="459"/>
        <w:gridCol w:w="4763"/>
        <w:gridCol w:w="4400"/>
      </w:tblGrid>
      <w:tr w:rsidR="00496804" w14:paraId="45D05CD9" w14:textId="77777777">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7" w14:textId="77777777" w:rsidR="00496804" w:rsidRDefault="00496804">
            <w:pPr>
              <w:tabs>
                <w:tab w:val="left" w:pos="426"/>
              </w:tabs>
              <w:spacing w:line="240" w:lineRule="auto"/>
              <w:jc w:val="center"/>
              <w:rPr>
                <w:rFonts w:ascii="Times New Roman" w:hAnsi="Times New Roman"/>
                <w:sz w:val="20"/>
                <w:szCs w:val="20"/>
              </w:rPr>
            </w:pPr>
          </w:p>
        </w:tc>
        <w:tc>
          <w:tcPr>
            <w:tcW w:w="4781" w:type="pct"/>
            <w:gridSpan w:val="2"/>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8"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b/>
                <w:bCs/>
                <w:sz w:val="20"/>
                <w:szCs w:val="20"/>
              </w:rPr>
              <w:t>Planiranje i gradnja novih zgrada u skladu s kružnim gospodarstvom</w:t>
            </w:r>
          </w:p>
        </w:tc>
      </w:tr>
      <w:tr w:rsidR="00496804" w14:paraId="45D05CDD" w14:textId="77777777">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A" w14:textId="77777777" w:rsidR="00496804" w:rsidRDefault="00496804">
            <w:pPr>
              <w:tabs>
                <w:tab w:val="left" w:pos="426"/>
              </w:tabs>
              <w:spacing w:line="240" w:lineRule="auto"/>
              <w:jc w:val="center"/>
              <w:rPr>
                <w:rFonts w:ascii="Times New Roman" w:hAnsi="Times New Roman"/>
                <w:sz w:val="20"/>
                <w:szCs w:val="20"/>
              </w:rPr>
            </w:pPr>
          </w:p>
        </w:tc>
        <w:tc>
          <w:tcPr>
            <w:tcW w:w="2485"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B"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SNAGE</w:t>
            </w:r>
          </w:p>
        </w:tc>
        <w:tc>
          <w:tcPr>
            <w:tcW w:w="2296"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C"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SLABOSTI</w:t>
            </w:r>
          </w:p>
        </w:tc>
      </w:tr>
      <w:tr w:rsidR="00496804" w14:paraId="45D05CEA" w14:textId="77777777">
        <w:trPr>
          <w:cantSplit/>
          <w:trHeight w:val="1134"/>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DE"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UNUTARNJI FAKTORI</w:t>
            </w:r>
          </w:p>
        </w:tc>
        <w:tc>
          <w:tcPr>
            <w:tcW w:w="2485" w:type="pct"/>
            <w:tcBorders>
              <w:top w:val="single" w:sz="4" w:space="0" w:color="auto"/>
              <w:left w:val="single" w:sz="4" w:space="0" w:color="auto"/>
              <w:bottom w:val="single" w:sz="4" w:space="0" w:color="auto"/>
              <w:right w:val="single" w:sz="4" w:space="0" w:color="auto"/>
            </w:tcBorders>
          </w:tcPr>
          <w:p w14:paraId="45D05CD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prostornog planiranja, s razrađenim razinama prostornih planova i prepoznatim subjektima prostornog uređenja</w:t>
            </w:r>
          </w:p>
          <w:p w14:paraId="45D05CE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praćenja stanja u prostoru i u području prostornog uređenja</w:t>
            </w:r>
          </w:p>
          <w:p w14:paraId="45D05CE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postupak izrade i donošenja prostornih planova uz sudjelovanje javnosti</w:t>
            </w:r>
          </w:p>
          <w:p w14:paraId="45D05CE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gradnje i energetske učinkovitosti u zgradarstvu</w:t>
            </w:r>
          </w:p>
          <w:p w14:paraId="45D05CE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financiranja projekata/razvojnih aktivnosti i provedbe prostornih planova ESIF sredstvima</w:t>
            </w:r>
          </w:p>
          <w:p w14:paraId="45D05CE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učinkovitosti zgrada</w:t>
            </w:r>
          </w:p>
          <w:p w14:paraId="45D05CE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Propisani nZEB standard za sve nove zgrade</w:t>
            </w:r>
          </w:p>
        </w:tc>
        <w:tc>
          <w:tcPr>
            <w:tcW w:w="2296" w:type="pct"/>
            <w:tcBorders>
              <w:top w:val="single" w:sz="4" w:space="0" w:color="auto"/>
              <w:left w:val="single" w:sz="4" w:space="0" w:color="auto"/>
              <w:bottom w:val="single" w:sz="4" w:space="0" w:color="auto"/>
              <w:right w:val="single" w:sz="4" w:space="0" w:color="auto"/>
            </w:tcBorders>
          </w:tcPr>
          <w:p w14:paraId="45D05CE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Većina financijskih instrumenata usmjerena je na energetsku obnovu korištenih zgrada</w:t>
            </w:r>
          </w:p>
          <w:p w14:paraId="45D05CE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Nije razvijena metoda izračuna ugljičnog otiska zgrada</w:t>
            </w:r>
          </w:p>
          <w:p w14:paraId="45D05CE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Nema digitalizacije, uvida u stanje u prostoru</w:t>
            </w:r>
          </w:p>
          <w:p w14:paraId="45D05CE9" w14:textId="792BFF4A" w:rsidR="00496804" w:rsidRDefault="005A01BA">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Manjak</w:t>
            </w:r>
            <w:r w:rsidR="0037359D">
              <w:rPr>
                <w:rFonts w:ascii="Times New Roman" w:hAnsi="Times New Roman" w:cs="Times New Roman"/>
                <w:b w:val="0"/>
                <w:bCs/>
                <w:sz w:val="20"/>
                <w:szCs w:val="20"/>
              </w:rPr>
              <w:t xml:space="preserve"> administrativni</w:t>
            </w:r>
            <w:r>
              <w:rPr>
                <w:rFonts w:ascii="Times New Roman" w:hAnsi="Times New Roman" w:cs="Times New Roman"/>
                <w:b w:val="0"/>
                <w:bCs/>
                <w:sz w:val="20"/>
                <w:szCs w:val="20"/>
              </w:rPr>
              <w:t>h</w:t>
            </w:r>
            <w:r w:rsidR="0037359D">
              <w:rPr>
                <w:rFonts w:ascii="Times New Roman" w:hAnsi="Times New Roman" w:cs="Times New Roman"/>
                <w:b w:val="0"/>
                <w:bCs/>
                <w:sz w:val="20"/>
                <w:szCs w:val="20"/>
              </w:rPr>
              <w:t xml:space="preserve"> kapacitet</w:t>
            </w:r>
            <w:r>
              <w:rPr>
                <w:rFonts w:ascii="Times New Roman" w:hAnsi="Times New Roman" w:cs="Times New Roman"/>
                <w:b w:val="0"/>
                <w:bCs/>
                <w:sz w:val="20"/>
                <w:szCs w:val="20"/>
              </w:rPr>
              <w:t>a</w:t>
            </w:r>
            <w:r w:rsidR="0037359D">
              <w:rPr>
                <w:rFonts w:ascii="Times New Roman" w:hAnsi="Times New Roman" w:cs="Times New Roman"/>
                <w:b w:val="0"/>
                <w:bCs/>
                <w:sz w:val="20"/>
                <w:szCs w:val="20"/>
              </w:rPr>
              <w:t xml:space="preserve"> u JLP</w:t>
            </w:r>
            <w:r w:rsidR="006E56A7">
              <w:rPr>
                <w:rFonts w:ascii="Times New Roman" w:hAnsi="Times New Roman" w:cs="Times New Roman"/>
                <w:b w:val="0"/>
                <w:bCs/>
                <w:sz w:val="20"/>
                <w:szCs w:val="20"/>
              </w:rPr>
              <w:t>(</w:t>
            </w:r>
            <w:r w:rsidR="0037359D">
              <w:rPr>
                <w:rFonts w:ascii="Times New Roman" w:hAnsi="Times New Roman" w:cs="Times New Roman"/>
                <w:b w:val="0"/>
                <w:bCs/>
                <w:sz w:val="20"/>
                <w:szCs w:val="20"/>
              </w:rPr>
              <w:t>R</w:t>
            </w:r>
            <w:r w:rsidR="006E56A7">
              <w:rPr>
                <w:rFonts w:ascii="Times New Roman" w:hAnsi="Times New Roman" w:cs="Times New Roman"/>
                <w:b w:val="0"/>
                <w:bCs/>
                <w:sz w:val="20"/>
                <w:szCs w:val="20"/>
              </w:rPr>
              <w:t>)</w:t>
            </w:r>
            <w:r w:rsidR="0037359D">
              <w:rPr>
                <w:rFonts w:ascii="Times New Roman" w:hAnsi="Times New Roman" w:cs="Times New Roman"/>
                <w:b w:val="0"/>
                <w:bCs/>
                <w:sz w:val="20"/>
                <w:szCs w:val="20"/>
              </w:rPr>
              <w:t>S</w:t>
            </w:r>
          </w:p>
        </w:tc>
      </w:tr>
      <w:tr w:rsidR="00496804" w14:paraId="45D05CEE" w14:textId="77777777">
        <w:trPr>
          <w:cantSplit/>
          <w:trHeight w:val="310"/>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EB" w14:textId="77777777" w:rsidR="00496804" w:rsidRDefault="00496804">
            <w:pPr>
              <w:tabs>
                <w:tab w:val="left" w:pos="426"/>
              </w:tabs>
              <w:spacing w:line="240" w:lineRule="auto"/>
              <w:jc w:val="center"/>
              <w:rPr>
                <w:rFonts w:ascii="Times New Roman" w:hAnsi="Times New Roman"/>
                <w:sz w:val="20"/>
                <w:szCs w:val="20"/>
              </w:rPr>
            </w:pPr>
          </w:p>
        </w:tc>
        <w:tc>
          <w:tcPr>
            <w:tcW w:w="2485"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EC"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PRILIKE</w:t>
            </w:r>
          </w:p>
        </w:tc>
        <w:tc>
          <w:tcPr>
            <w:tcW w:w="2296"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ED"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PRIJETNJE</w:t>
            </w:r>
          </w:p>
        </w:tc>
      </w:tr>
      <w:tr w:rsidR="00496804" w14:paraId="45D05CF9" w14:textId="77777777">
        <w:trPr>
          <w:cantSplit/>
          <w:trHeight w:val="1134"/>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EF"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VANJSKI FAKTORI</w:t>
            </w:r>
          </w:p>
        </w:tc>
        <w:tc>
          <w:tcPr>
            <w:tcW w:w="2485" w:type="pct"/>
            <w:tcBorders>
              <w:top w:val="single" w:sz="4" w:space="0" w:color="auto"/>
              <w:left w:val="single" w:sz="4" w:space="0" w:color="auto"/>
              <w:bottom w:val="single" w:sz="4" w:space="0" w:color="auto"/>
              <w:right w:val="single" w:sz="4" w:space="0" w:color="auto"/>
            </w:tcBorders>
          </w:tcPr>
          <w:p w14:paraId="45D05CF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kontinuirane suradnje sa znanstvenom i stručnom zajednicom vezana uz daljnji razvoj i utvrđivanje metoda, kriterija i standarda KG prostorom i zgradama i praćenja stanja u prostoru</w:t>
            </w:r>
          </w:p>
          <w:p w14:paraId="45D05CF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uspostave mehanizama i platformi za razmjenu podataka KG, BIM sustavi, sustavi certificiranja (Leed, Breeam/DGNB), alati poput Level(s)</w:t>
            </w:r>
          </w:p>
          <w:p w14:paraId="45D05CF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Povoljan svjetski trenutak zbog osviještenosti za borbu protiv klimatskih promjena</w:t>
            </w:r>
          </w:p>
          <w:p w14:paraId="45D05CF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participativnog modela u prepoznavanju potreba za KG-a prostorom i zgradama, uključivanje korisnika u procese planiranja što povećava uspješnost u realizaciji i korištenju u cilju osiguranja održivog društvenog razvoja</w:t>
            </w:r>
          </w:p>
          <w:p w14:paraId="45D05CF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Izrada principa održivog dizajna zgrada, usmjerena na metode smanjivanja nastanka građevnog otpada te poticanja upotrebe korištenih ili oporabljenih građevnih  materijala, proizvoda i građevnih elemenata</w:t>
            </w:r>
          </w:p>
          <w:p w14:paraId="45D05CF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Stimuliranje inovacija, novih tehnologija koje omogućuju recikliranje i oporabu komponenata bez utjecaja na životni vijek zgrade</w:t>
            </w:r>
          </w:p>
          <w:p w14:paraId="45D05CF6" w14:textId="77777777" w:rsidR="00496804" w:rsidRDefault="00496804">
            <w:pPr>
              <w:tabs>
                <w:tab w:val="left" w:pos="426"/>
              </w:tabs>
              <w:spacing w:line="240" w:lineRule="auto"/>
              <w:rPr>
                <w:rFonts w:ascii="Times New Roman" w:hAnsi="Times New Roman"/>
                <w:sz w:val="20"/>
                <w:szCs w:val="20"/>
              </w:rPr>
            </w:pPr>
          </w:p>
        </w:tc>
        <w:tc>
          <w:tcPr>
            <w:tcW w:w="2296" w:type="pct"/>
            <w:tcBorders>
              <w:top w:val="single" w:sz="4" w:space="0" w:color="auto"/>
              <w:left w:val="single" w:sz="4" w:space="0" w:color="auto"/>
              <w:bottom w:val="single" w:sz="4" w:space="0" w:color="auto"/>
              <w:right w:val="single" w:sz="4" w:space="0" w:color="auto"/>
            </w:tcBorders>
          </w:tcPr>
          <w:p w14:paraId="45D05CF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modeli i ograničene mogućnosti financiranja</w:t>
            </w:r>
          </w:p>
          <w:p w14:paraId="45D05CF8" w14:textId="049C0D03" w:rsidR="00496804" w:rsidRDefault="0037359D">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Nedostat</w:t>
            </w:r>
            <w:r w:rsidR="00162180">
              <w:rPr>
                <w:rFonts w:ascii="Times New Roman" w:hAnsi="Times New Roman" w:cs="Times New Roman"/>
                <w:b w:val="0"/>
                <w:bCs/>
                <w:sz w:val="20"/>
                <w:szCs w:val="20"/>
              </w:rPr>
              <w:t>ni modeli edukacije</w:t>
            </w:r>
            <w:r>
              <w:rPr>
                <w:rFonts w:ascii="Times New Roman" w:hAnsi="Times New Roman" w:cs="Times New Roman"/>
                <w:b w:val="0"/>
                <w:bCs/>
                <w:sz w:val="20"/>
                <w:szCs w:val="20"/>
              </w:rPr>
              <w:t xml:space="preserve"> dionika</w:t>
            </w:r>
            <w:r w:rsidR="0067015D">
              <w:rPr>
                <w:rFonts w:ascii="Times New Roman" w:hAnsi="Times New Roman" w:cs="Times New Roman"/>
                <w:b w:val="0"/>
                <w:bCs/>
                <w:sz w:val="20"/>
                <w:szCs w:val="20"/>
              </w:rPr>
              <w:t xml:space="preserve"> o temama održivog razvoja</w:t>
            </w:r>
            <w:r>
              <w:rPr>
                <w:rFonts w:ascii="Times New Roman" w:hAnsi="Times New Roman" w:cs="Times New Roman"/>
                <w:b w:val="0"/>
                <w:bCs/>
                <w:sz w:val="20"/>
                <w:szCs w:val="20"/>
              </w:rPr>
              <w:t xml:space="preserve"> </w:t>
            </w:r>
          </w:p>
        </w:tc>
      </w:tr>
    </w:tbl>
    <w:p w14:paraId="45D05CFA"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CFB" w14:textId="77777777" w:rsidR="00496804" w:rsidRDefault="00496804">
      <w:pPr>
        <w:tabs>
          <w:tab w:val="left" w:pos="426"/>
        </w:tabs>
        <w:spacing w:line="240" w:lineRule="auto"/>
        <w:rPr>
          <w:rFonts w:ascii="Times New Roman" w:hAnsi="Times New Roman"/>
          <w:sz w:val="24"/>
        </w:rPr>
      </w:pPr>
    </w:p>
    <w:tbl>
      <w:tblPr>
        <w:tblStyle w:val="Reetkatablice"/>
        <w:tblW w:w="0" w:type="auto"/>
        <w:tblLook w:val="04A0" w:firstRow="1" w:lastRow="0" w:firstColumn="1" w:lastColumn="0" w:noHBand="0" w:noVBand="1"/>
      </w:tblPr>
      <w:tblGrid>
        <w:gridCol w:w="498"/>
        <w:gridCol w:w="4562"/>
        <w:gridCol w:w="4562"/>
      </w:tblGrid>
      <w:tr w:rsidR="00496804" w14:paraId="45D05CFE" w14:textId="77777777">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C" w14:textId="77777777" w:rsidR="00496804" w:rsidRDefault="00496804">
            <w:pPr>
              <w:tabs>
                <w:tab w:val="left" w:pos="426"/>
              </w:tabs>
              <w:spacing w:line="240" w:lineRule="auto"/>
              <w:jc w:val="center"/>
              <w:rPr>
                <w:rFonts w:ascii="Times New Roman" w:hAnsi="Times New Roman"/>
                <w:sz w:val="20"/>
                <w:szCs w:val="20"/>
              </w:rPr>
            </w:pPr>
          </w:p>
        </w:tc>
        <w:tc>
          <w:tcPr>
            <w:tcW w:w="9124" w:type="dxa"/>
            <w:gridSpan w:val="2"/>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D"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b/>
                <w:bCs/>
                <w:sz w:val="20"/>
                <w:szCs w:val="20"/>
              </w:rPr>
              <w:t>Obnova postojećih zgrada u skladu s kružnim gospodarstvom</w:t>
            </w:r>
          </w:p>
        </w:tc>
      </w:tr>
      <w:tr w:rsidR="00496804" w14:paraId="45D05D02" w14:textId="77777777">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F" w14:textId="77777777" w:rsidR="00496804" w:rsidRDefault="00496804">
            <w:pPr>
              <w:tabs>
                <w:tab w:val="left" w:pos="426"/>
              </w:tabs>
              <w:spacing w:line="240" w:lineRule="auto"/>
              <w:jc w:val="center"/>
              <w:rPr>
                <w:rFonts w:ascii="Times New Roman" w:hAnsi="Times New Roman"/>
                <w:sz w:val="20"/>
                <w:szCs w:val="20"/>
              </w:rPr>
            </w:pP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00"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SNAGE</w:t>
            </w: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01"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SLABOSTI</w:t>
            </w:r>
          </w:p>
        </w:tc>
      </w:tr>
      <w:tr w:rsidR="00496804" w14:paraId="45D05D16" w14:textId="77777777">
        <w:trPr>
          <w:cantSplit/>
          <w:trHeight w:val="1134"/>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03"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UNUTARNJI FAKTORI</w:t>
            </w:r>
          </w:p>
        </w:tc>
        <w:tc>
          <w:tcPr>
            <w:tcW w:w="4562" w:type="dxa"/>
            <w:tcBorders>
              <w:top w:val="single" w:sz="4" w:space="0" w:color="auto"/>
              <w:left w:val="single" w:sz="4" w:space="0" w:color="auto"/>
              <w:bottom w:val="single" w:sz="4" w:space="0" w:color="auto"/>
              <w:right w:val="single" w:sz="4" w:space="0" w:color="auto"/>
            </w:tcBorders>
          </w:tcPr>
          <w:p w14:paraId="45D05D04" w14:textId="28F4EE30"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Značajan kapacitet napuštenih prostora i zgrada u vlasništvu RH i JLP</w:t>
            </w:r>
            <w:r w:rsidR="00AA5B07">
              <w:rPr>
                <w:rFonts w:ascii="Times New Roman" w:hAnsi="Times New Roman" w:cs="Times New Roman"/>
                <w:b w:val="0"/>
                <w:bCs/>
                <w:sz w:val="20"/>
                <w:szCs w:val="20"/>
              </w:rPr>
              <w:t>(</w:t>
            </w:r>
            <w:r>
              <w:rPr>
                <w:rFonts w:ascii="Times New Roman" w:hAnsi="Times New Roman" w:cs="Times New Roman"/>
                <w:b w:val="0"/>
                <w:bCs/>
                <w:sz w:val="20"/>
                <w:szCs w:val="20"/>
              </w:rPr>
              <w:t>R</w:t>
            </w:r>
            <w:r w:rsidR="00AA5B07">
              <w:rPr>
                <w:rFonts w:ascii="Times New Roman" w:hAnsi="Times New Roman" w:cs="Times New Roman"/>
                <w:b w:val="0"/>
                <w:bCs/>
                <w:sz w:val="20"/>
                <w:szCs w:val="20"/>
              </w:rPr>
              <w:t>)</w:t>
            </w:r>
            <w:r>
              <w:rPr>
                <w:rFonts w:ascii="Times New Roman" w:hAnsi="Times New Roman" w:cs="Times New Roman"/>
                <w:b w:val="0"/>
                <w:bCs/>
                <w:sz w:val="20"/>
                <w:szCs w:val="20"/>
              </w:rPr>
              <w:t>S</w:t>
            </w:r>
          </w:p>
          <w:p w14:paraId="45D05D0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Postojeća legislativa RH je zadovoljavajuća u dijelu koji se odnosi na tehničke smjernice i zahtjeve za energetskom obnovom zgrada</w:t>
            </w:r>
          </w:p>
          <w:p w14:paraId="45D05D0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Člankom 5. Direktive 2012/27/EU definirana obveza obnove zgrada javnog sektora u vlasništvu središnje države u svim državama članicama </w:t>
            </w:r>
          </w:p>
          <w:p w14:paraId="45D05D0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Direktiva 2009/28/EU propisuje obvezu uvođenja mjera za povećanje udjela energije iz obnovljivih izvora energije za sve države članice</w:t>
            </w:r>
          </w:p>
          <w:p w14:paraId="45D05D0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obnove ostvareni kroz provedbu programa</w:t>
            </w:r>
          </w:p>
          <w:p w14:paraId="45D05D09" w14:textId="71ABE33C"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Stečeno iskustvo u dosadašnj</w:t>
            </w:r>
            <w:r w:rsidR="007610BC">
              <w:rPr>
                <w:rFonts w:ascii="Times New Roman" w:hAnsi="Times New Roman" w:cs="Times New Roman"/>
                <w:b w:val="0"/>
                <w:bCs/>
                <w:sz w:val="20"/>
                <w:szCs w:val="20"/>
              </w:rPr>
              <w:t>i</w:t>
            </w:r>
            <w:r>
              <w:rPr>
                <w:rFonts w:ascii="Times New Roman" w:hAnsi="Times New Roman" w:cs="Times New Roman"/>
                <w:b w:val="0"/>
                <w:bCs/>
                <w:sz w:val="20"/>
                <w:szCs w:val="20"/>
              </w:rPr>
              <w:t>m poticajima  energetske obnove</w:t>
            </w:r>
          </w:p>
          <w:p w14:paraId="45D05D0A"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Postojeće zgrade pogodne su za provođenje mjera kružnosti </w:t>
            </w:r>
          </w:p>
          <w:p w14:paraId="45D05D0B"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učinkovitosti zgrada</w:t>
            </w:r>
          </w:p>
          <w:p w14:paraId="45D05D0C"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Mogućnosti sufinanciranja obnove fonda zgrada ESIF sredstvima</w:t>
            </w:r>
          </w:p>
          <w:p w14:paraId="45D05D0D" w14:textId="77777777" w:rsidR="00496804" w:rsidRDefault="00496804">
            <w:pPr>
              <w:tabs>
                <w:tab w:val="left" w:pos="174"/>
              </w:tabs>
              <w:spacing w:line="240" w:lineRule="auto"/>
              <w:rPr>
                <w:rFonts w:ascii="Times New Roman" w:hAnsi="Times New Roman"/>
                <w:bCs/>
                <w:sz w:val="20"/>
                <w:szCs w:val="20"/>
              </w:rPr>
            </w:pPr>
          </w:p>
        </w:tc>
        <w:tc>
          <w:tcPr>
            <w:tcW w:w="4562" w:type="dxa"/>
            <w:tcBorders>
              <w:top w:val="single" w:sz="4" w:space="0" w:color="auto"/>
              <w:left w:val="single" w:sz="4" w:space="0" w:color="auto"/>
              <w:bottom w:val="single" w:sz="4" w:space="0" w:color="auto"/>
              <w:right w:val="single" w:sz="4" w:space="0" w:color="auto"/>
            </w:tcBorders>
          </w:tcPr>
          <w:p w14:paraId="45D05D0E"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Nerazvijen sustav praćenja stope demolacije fonda zgrada (rušenje, privremeno napuštanje ili neregistrirano napuštanje)</w:t>
            </w:r>
          </w:p>
          <w:p w14:paraId="45D05D0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Nedostatak dostupnih podataka o stanju nacionalnog fonda zgrada </w:t>
            </w:r>
          </w:p>
          <w:p w14:paraId="45D05D1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Nepotpuni podaci u Registru brownfield područja </w:t>
            </w:r>
          </w:p>
          <w:p w14:paraId="45D05D11" w14:textId="1A48CE0D" w:rsidR="00496804" w:rsidRDefault="0067015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Manjak</w:t>
            </w:r>
            <w:r w:rsidR="0037359D">
              <w:rPr>
                <w:rFonts w:ascii="Times New Roman" w:hAnsi="Times New Roman" w:cs="Times New Roman"/>
                <w:b w:val="0"/>
                <w:bCs/>
                <w:sz w:val="20"/>
                <w:szCs w:val="20"/>
              </w:rPr>
              <w:t xml:space="preserve"> administrativni</w:t>
            </w:r>
            <w:r>
              <w:rPr>
                <w:rFonts w:ascii="Times New Roman" w:hAnsi="Times New Roman" w:cs="Times New Roman"/>
                <w:b w:val="0"/>
                <w:bCs/>
                <w:sz w:val="20"/>
                <w:szCs w:val="20"/>
              </w:rPr>
              <w:t>h</w:t>
            </w:r>
            <w:r w:rsidR="0037359D">
              <w:rPr>
                <w:rFonts w:ascii="Times New Roman" w:hAnsi="Times New Roman" w:cs="Times New Roman"/>
                <w:b w:val="0"/>
                <w:bCs/>
                <w:sz w:val="20"/>
                <w:szCs w:val="20"/>
              </w:rPr>
              <w:t xml:space="preserve"> kapacitet</w:t>
            </w:r>
            <w:r>
              <w:rPr>
                <w:rFonts w:ascii="Times New Roman" w:hAnsi="Times New Roman" w:cs="Times New Roman"/>
                <w:b w:val="0"/>
                <w:bCs/>
                <w:sz w:val="20"/>
                <w:szCs w:val="20"/>
              </w:rPr>
              <w:t>a</w:t>
            </w:r>
            <w:r w:rsidR="0037359D">
              <w:rPr>
                <w:rFonts w:ascii="Times New Roman" w:hAnsi="Times New Roman" w:cs="Times New Roman"/>
                <w:b w:val="0"/>
                <w:bCs/>
                <w:sz w:val="20"/>
                <w:szCs w:val="20"/>
              </w:rPr>
              <w:t xml:space="preserve"> u JLP</w:t>
            </w:r>
            <w:r w:rsidR="007610BC">
              <w:rPr>
                <w:rFonts w:ascii="Times New Roman" w:hAnsi="Times New Roman" w:cs="Times New Roman"/>
                <w:b w:val="0"/>
                <w:bCs/>
                <w:sz w:val="20"/>
                <w:szCs w:val="20"/>
              </w:rPr>
              <w:t>(</w:t>
            </w:r>
            <w:r w:rsidR="0037359D">
              <w:rPr>
                <w:rFonts w:ascii="Times New Roman" w:hAnsi="Times New Roman" w:cs="Times New Roman"/>
                <w:b w:val="0"/>
                <w:bCs/>
                <w:sz w:val="20"/>
                <w:szCs w:val="20"/>
              </w:rPr>
              <w:t>R</w:t>
            </w:r>
            <w:r w:rsidR="007610BC">
              <w:rPr>
                <w:rFonts w:ascii="Times New Roman" w:hAnsi="Times New Roman" w:cs="Times New Roman"/>
                <w:b w:val="0"/>
                <w:bCs/>
                <w:sz w:val="20"/>
                <w:szCs w:val="20"/>
              </w:rPr>
              <w:t>)</w:t>
            </w:r>
            <w:r w:rsidR="0037359D">
              <w:rPr>
                <w:rFonts w:ascii="Times New Roman" w:hAnsi="Times New Roman" w:cs="Times New Roman"/>
                <w:b w:val="0"/>
                <w:bCs/>
                <w:sz w:val="20"/>
                <w:szCs w:val="20"/>
              </w:rPr>
              <w:t>S</w:t>
            </w:r>
          </w:p>
          <w:p w14:paraId="45D05D1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sz w:val="20"/>
                <w:szCs w:val="20"/>
              </w:rPr>
            </w:pPr>
            <w:r>
              <w:rPr>
                <w:rFonts w:ascii="Times New Roman" w:hAnsi="Times New Roman" w:cs="Times New Roman"/>
                <w:b w:val="0"/>
                <w:sz w:val="20"/>
                <w:szCs w:val="20"/>
              </w:rPr>
              <w:t>Neiskorištenost potencijala za oporabu građevnih proizvoda</w:t>
            </w:r>
          </w:p>
          <w:p w14:paraId="45D05D1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Nije razvijena metoda procjene ekološkog učinaka zgrade na okoliš tijekom cjeloživotnog vijeka zgrade</w:t>
            </w:r>
          </w:p>
          <w:p w14:paraId="45D05D14" w14:textId="7656160C"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Većina financijskih instrumenata usmjerena je na energetsku obnovu korištenih zgrada </w:t>
            </w:r>
          </w:p>
          <w:p w14:paraId="45D05D15" w14:textId="77777777" w:rsidR="00496804" w:rsidRDefault="00496804">
            <w:pPr>
              <w:pStyle w:val="Odlomakpopisa"/>
              <w:tabs>
                <w:tab w:val="left" w:pos="174"/>
              </w:tabs>
              <w:spacing w:line="240" w:lineRule="auto"/>
              <w:ind w:left="174"/>
              <w:rPr>
                <w:rFonts w:ascii="Times New Roman" w:hAnsi="Times New Roman" w:cs="Times New Roman"/>
                <w:b w:val="0"/>
                <w:bCs/>
                <w:sz w:val="20"/>
                <w:szCs w:val="20"/>
              </w:rPr>
            </w:pPr>
          </w:p>
        </w:tc>
      </w:tr>
      <w:tr w:rsidR="00496804" w14:paraId="45D05D1A" w14:textId="77777777">
        <w:trPr>
          <w:cantSplit/>
          <w:trHeight w:val="228"/>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17" w14:textId="77777777" w:rsidR="00496804" w:rsidRDefault="00496804">
            <w:pPr>
              <w:tabs>
                <w:tab w:val="left" w:pos="426"/>
              </w:tabs>
              <w:spacing w:line="240" w:lineRule="auto"/>
              <w:ind w:left="113" w:right="113"/>
              <w:jc w:val="center"/>
              <w:rPr>
                <w:rFonts w:ascii="Times New Roman" w:hAnsi="Times New Roman"/>
                <w:sz w:val="20"/>
                <w:szCs w:val="20"/>
              </w:rPr>
            </w:pP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18"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PRILIKE</w:t>
            </w: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19"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PRIJETNJE</w:t>
            </w:r>
          </w:p>
        </w:tc>
      </w:tr>
      <w:tr w:rsidR="00496804" w14:paraId="45D05D2B" w14:textId="77777777">
        <w:trPr>
          <w:cantSplit/>
          <w:trHeight w:val="1134"/>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1B"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VANJSKI FAKTORI</w:t>
            </w:r>
          </w:p>
        </w:tc>
        <w:tc>
          <w:tcPr>
            <w:tcW w:w="4562" w:type="dxa"/>
            <w:tcBorders>
              <w:top w:val="single" w:sz="4" w:space="0" w:color="auto"/>
              <w:left w:val="single" w:sz="4" w:space="0" w:color="auto"/>
              <w:bottom w:val="single" w:sz="4" w:space="0" w:color="auto"/>
              <w:right w:val="single" w:sz="4" w:space="0" w:color="auto"/>
            </w:tcBorders>
          </w:tcPr>
          <w:p w14:paraId="45D05D1C"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Integriranje kružnog gospodarstva i energetske obnove </w:t>
            </w:r>
          </w:p>
          <w:p w14:paraId="45D05D1D"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Uštede prostornih resursa, materijala i energije uslijed obnove postojećeg fonda zgrada </w:t>
            </w:r>
          </w:p>
          <w:p w14:paraId="45D05D1E"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Povoljan svjetski trenutak zbog osviještenosti za borbu protiv klimatskih promjena</w:t>
            </w:r>
          </w:p>
          <w:p w14:paraId="45D05D1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Orijentacija na napuštene i nedovoljno iskorištene zgrade u javnom vlasništvu</w:t>
            </w:r>
          </w:p>
          <w:p w14:paraId="45D05D2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Poticajne mjere za sve vidove održivog urbanog razvoja i smanjenja stakleničkih plinova</w:t>
            </w:r>
          </w:p>
          <w:p w14:paraId="45D05D2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Obnavljanje karakteristika konstrukcije najmanje na razinu koju je imala u trenutku gradnje imajući u vidu propise iz područja gradnje, zaštite od požara, zaštite na radu, zaštite okoliša i tehničke zaštite</w:t>
            </w:r>
          </w:p>
          <w:p w14:paraId="45D05D2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participativnog modela u prepoznavanju javnog interesa KG-a prostorom i zgradama, uključivanje korisnika u procese planiranja što povećava uspješnost u realizaciji i korištenju u cilju osiguranja održivog društvenog razvoja</w:t>
            </w:r>
          </w:p>
          <w:p w14:paraId="45D05D2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uvođenja principa kružnosti u postojeći regulatorni okvir i instrumente politike</w:t>
            </w:r>
          </w:p>
          <w:p w14:paraId="45D05D2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Stimuliranje inovacija, novih tehnologija koje omogućuju recikliranje i oporabu komponenata bez utjecaja na životni vijek zgrade</w:t>
            </w:r>
          </w:p>
        </w:tc>
        <w:tc>
          <w:tcPr>
            <w:tcW w:w="4562" w:type="dxa"/>
            <w:tcBorders>
              <w:top w:val="single" w:sz="4" w:space="0" w:color="auto"/>
              <w:left w:val="single" w:sz="4" w:space="0" w:color="auto"/>
              <w:bottom w:val="single" w:sz="4" w:space="0" w:color="auto"/>
              <w:right w:val="single" w:sz="4" w:space="0" w:color="auto"/>
            </w:tcBorders>
          </w:tcPr>
          <w:p w14:paraId="45D05D2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modeli i ograničene mogućnosti financiranja</w:t>
            </w:r>
          </w:p>
          <w:p w14:paraId="45D05D2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Otežana provedba planova obnova zgrada/zona zbog neriješenih imovinsko-pravnih odnosa. Vlasnički odnosi višestambenih zgrada su iznimno složeni za razliku od zgrada javnog sektora, gdje su vlasnički odnosi relativno jednostavni</w:t>
            </w:r>
          </w:p>
          <w:p w14:paraId="45D05D2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Nedostatak i potkapacitiranost izvođačkih tvrtki </w:t>
            </w:r>
          </w:p>
          <w:p w14:paraId="45D05D29"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Katastrofalni događaji (potres, požar ili poplava)</w:t>
            </w:r>
          </w:p>
          <w:p w14:paraId="45D05D2A" w14:textId="70A11AD0" w:rsidR="00496804" w:rsidRDefault="00937ED0">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Nedostatni modeli edukacije dionika o temama održivog razvoja </w:t>
            </w:r>
          </w:p>
        </w:tc>
      </w:tr>
    </w:tbl>
    <w:p w14:paraId="45D05D2C" w14:textId="77777777" w:rsidR="00496804" w:rsidRDefault="00496804">
      <w:pPr>
        <w:spacing w:line="240" w:lineRule="auto"/>
        <w:rPr>
          <w:rFonts w:ascii="Times New Roman" w:hAnsi="Times New Roman"/>
          <w:sz w:val="24"/>
        </w:rPr>
      </w:pPr>
    </w:p>
    <w:p w14:paraId="45D05D2D"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D2E"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2" w:name="_Toc51851648"/>
      <w:r>
        <w:rPr>
          <w:rFonts w:ascii="Times New Roman" w:hAnsi="Times New Roman" w:cs="Times New Roman"/>
          <w:sz w:val="24"/>
          <w:szCs w:val="24"/>
        </w:rPr>
        <w:lastRenderedPageBreak/>
        <w:t xml:space="preserve">OPIS PRIORITETA JAVNE POLITIKE U </w:t>
      </w:r>
      <w:bookmarkStart w:id="153" w:name="_Toc29083938"/>
      <w:bookmarkStart w:id="154" w:name="_Toc27948621"/>
      <w:r>
        <w:rPr>
          <w:rFonts w:ascii="Times New Roman" w:hAnsi="Times New Roman" w:cs="Times New Roman"/>
          <w:sz w:val="24"/>
          <w:szCs w:val="24"/>
        </w:rPr>
        <w:t>SREDNJOROČNOM RAZDOBLJU</w:t>
      </w:r>
      <w:bookmarkEnd w:id="152"/>
      <w:bookmarkEnd w:id="153"/>
      <w:bookmarkEnd w:id="154"/>
    </w:p>
    <w:p w14:paraId="45D05D2F" w14:textId="77777777" w:rsidR="00496804" w:rsidRDefault="00496804">
      <w:pPr>
        <w:spacing w:line="240" w:lineRule="auto"/>
        <w:rPr>
          <w:rFonts w:ascii="Times New Roman" w:hAnsi="Times New Roman"/>
          <w:sz w:val="24"/>
        </w:rPr>
      </w:pPr>
    </w:p>
    <w:p w14:paraId="45D05D30" w14:textId="1049691A" w:rsidR="00496804" w:rsidRDefault="0037359D">
      <w:pPr>
        <w:spacing w:line="240" w:lineRule="auto"/>
        <w:rPr>
          <w:rFonts w:ascii="Times New Roman" w:hAnsi="Times New Roman"/>
          <w:sz w:val="24"/>
        </w:rPr>
      </w:pPr>
      <w:r>
        <w:rPr>
          <w:rFonts w:ascii="Times New Roman" w:hAnsi="Times New Roman"/>
          <w:sz w:val="24"/>
        </w:rPr>
        <w:t xml:space="preserve">Prioriteti javnih politika u području kružnog gospodarenja prostorom i zgradama, energetske učinkovitosti i prostornog planiranja definirani su u okviru NRS 2030 i njenog razvojnog smjera </w:t>
      </w:r>
      <w:r>
        <w:rPr>
          <w:rFonts w:ascii="Times New Roman" w:hAnsi="Times New Roman"/>
          <w:i/>
          <w:iCs/>
          <w:sz w:val="24"/>
        </w:rPr>
        <w:t>Zelena i digitalna tranzicija</w:t>
      </w:r>
      <w:r>
        <w:rPr>
          <w:rFonts w:ascii="Times New Roman" w:hAnsi="Times New Roman"/>
          <w:sz w:val="24"/>
        </w:rPr>
        <w:t xml:space="preserve"> i strateškog cilja </w:t>
      </w:r>
      <w:r>
        <w:rPr>
          <w:rFonts w:ascii="Times New Roman" w:hAnsi="Times New Roman"/>
          <w:i/>
          <w:iCs/>
          <w:sz w:val="24"/>
        </w:rPr>
        <w:t>Nisko-ugljična energetska tranzicija i zaštita okoliša</w:t>
      </w:r>
      <w:r>
        <w:rPr>
          <w:rFonts w:ascii="Times New Roman" w:hAnsi="Times New Roman"/>
          <w:sz w:val="24"/>
        </w:rPr>
        <w:t xml:space="preserve">. NRS 2030 postavlja cilj da </w:t>
      </w:r>
      <w:r w:rsidR="001F04F1">
        <w:rPr>
          <w:rFonts w:ascii="Times New Roman" w:hAnsi="Times New Roman"/>
          <w:sz w:val="24"/>
        </w:rPr>
        <w:t xml:space="preserve">RH </w:t>
      </w:r>
      <w:r>
        <w:rPr>
          <w:rFonts w:ascii="Times New Roman" w:hAnsi="Times New Roman"/>
          <w:sz w:val="24"/>
        </w:rPr>
        <w:t>do 2030. godine bude među europskim predvodnicima u promicanju prelaska na čistu energiju, zelenih i plavih ulaganja, samodostatnosti u hrani i razvoja kružnog gospodarstva, prilagodbe klimatskim promjenama, očuvanja i obnove eko sustava i bio-raznolikosti i održive i pametne mobilnosti i povezivosti.</w:t>
      </w:r>
      <w:r>
        <w:rPr>
          <w:rFonts w:ascii="Times New Roman" w:eastAsia="Calibri" w:hAnsi="Times New Roman"/>
          <w:sz w:val="24"/>
        </w:rPr>
        <w:t xml:space="preserve"> Iako </w:t>
      </w:r>
      <w:r w:rsidR="001F04F1">
        <w:rPr>
          <w:rFonts w:ascii="Times New Roman" w:eastAsia="Calibri" w:hAnsi="Times New Roman"/>
          <w:sz w:val="24"/>
        </w:rPr>
        <w:t xml:space="preserve">RH </w:t>
      </w:r>
      <w:r>
        <w:rPr>
          <w:rFonts w:ascii="Times New Roman" w:eastAsia="Calibri" w:hAnsi="Times New Roman"/>
          <w:sz w:val="24"/>
        </w:rPr>
        <w:t xml:space="preserve">nije značajan emiter stakleničkih plinova potrebno je razvoj usmjeravati prema zelenim tehnologijama u svim sektorima naročito u </w:t>
      </w:r>
      <w:r w:rsidRPr="00AA15B0">
        <w:rPr>
          <w:rFonts w:ascii="Times New Roman" w:eastAsia="Calibri" w:hAnsi="Times New Roman"/>
          <w:sz w:val="24"/>
        </w:rPr>
        <w:t>poljoprivrednom sektoru</w:t>
      </w:r>
      <w:r>
        <w:rPr>
          <w:rFonts w:ascii="Times New Roman" w:eastAsia="Calibri" w:hAnsi="Times New Roman"/>
          <w:sz w:val="24"/>
        </w:rPr>
        <w:t xml:space="preserve">, energetici, prometu i zgradarstvu. </w:t>
      </w:r>
      <w:r>
        <w:rPr>
          <w:rFonts w:ascii="Times New Roman" w:hAnsi="Times New Roman"/>
          <w:sz w:val="24"/>
        </w:rPr>
        <w:t xml:space="preserve">Među prioritetima </w:t>
      </w:r>
      <w:r>
        <w:rPr>
          <w:rFonts w:ascii="Times New Roman" w:eastAsiaTheme="minorEastAsia" w:hAnsi="Times New Roman"/>
          <w:sz w:val="24"/>
        </w:rPr>
        <w:t>provedbe javnih politika za strateški cilj 8. „Niskougljična energetska tranzicija i zaštita okoliša“</w:t>
      </w:r>
      <w:r>
        <w:rPr>
          <w:rFonts w:ascii="Times New Roman" w:hAnsi="Times New Roman"/>
          <w:sz w:val="24"/>
        </w:rPr>
        <w:t xml:space="preserve"> uvršteno je i poticanje zelenog prostornog planiranja i stvaranja zelenih gradova te razvoj zelene infrastrukture u urbanim područjima, kao i osnaživanje niskougljičnog rasta i djelotvorno upravljanje resursima s ciljem smanjivanja rizika za okoliš i povećanja otpornosti na klimatske promjene.</w:t>
      </w:r>
    </w:p>
    <w:p w14:paraId="45D05D31" w14:textId="77777777" w:rsidR="00496804" w:rsidRDefault="00496804">
      <w:pPr>
        <w:spacing w:line="240" w:lineRule="auto"/>
        <w:rPr>
          <w:rFonts w:ascii="Times New Roman" w:hAnsi="Times New Roman"/>
          <w:sz w:val="24"/>
        </w:rPr>
      </w:pPr>
    </w:p>
    <w:p w14:paraId="45D05D32" w14:textId="77777777" w:rsidR="00496804" w:rsidRDefault="0037359D">
      <w:pPr>
        <w:spacing w:line="240" w:lineRule="auto"/>
        <w:rPr>
          <w:rFonts w:ascii="Times New Roman" w:hAnsi="Times New Roman"/>
          <w:sz w:val="24"/>
        </w:rPr>
      </w:pPr>
      <w:r>
        <w:rPr>
          <w:rFonts w:ascii="Times New Roman" w:hAnsi="Times New Roman"/>
          <w:sz w:val="24"/>
        </w:rPr>
        <w:t>Slijedeći prioritete politike održivog okoliša u području kružnog gospodarenja prostorom i zgradama, Program razvoja KG definira tri prioriteta:</w:t>
      </w:r>
    </w:p>
    <w:p w14:paraId="45D05D33" w14:textId="77777777" w:rsidR="00496804" w:rsidRDefault="00496804">
      <w:pPr>
        <w:spacing w:line="240" w:lineRule="auto"/>
        <w:rPr>
          <w:rFonts w:ascii="Times New Roman" w:hAnsi="Times New Roman"/>
          <w:sz w:val="24"/>
        </w:rPr>
      </w:pPr>
    </w:p>
    <w:p w14:paraId="45D05D34"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 xml:space="preserve">razvoj sustava kružnog gospodarenja prostorom i zgradama uz definiranu </w:t>
      </w:r>
      <w:r>
        <w:rPr>
          <w:rFonts w:ascii="Times New Roman" w:hAnsi="Times New Roman" w:cs="Times New Roman"/>
          <w:b w:val="0"/>
          <w:bCs/>
          <w:sz w:val="24"/>
          <w:lang w:eastAsia="hr-HR"/>
        </w:rPr>
        <w:t xml:space="preserve">metodologiju kružne obnove različitih tipologija nekorištenih prostora i zgrada, povećanu kvalitetu i dostupnost prostornih podataka, unaprjeđeno prostorno planiranje i sustav prostornog uređenja, razvoj i inovacije u primjeni kružnog gospodarenja prostorom i zgradama te </w:t>
      </w:r>
      <w:r>
        <w:rPr>
          <w:rFonts w:ascii="Times New Roman" w:hAnsi="Times New Roman" w:cs="Times New Roman"/>
          <w:b w:val="0"/>
          <w:bCs/>
          <w:sz w:val="24"/>
        </w:rPr>
        <w:t>unaprjeđenje zakonskog okvira i poticanje izrade strateških dokumenata razvoja,</w:t>
      </w:r>
    </w:p>
    <w:p w14:paraId="45D05D35"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kružna obnova nekorištenih prostora i zgrada kroz provedbu pilot projekata te nakon toga kružnu obnovu širih razmjera na području cijele RH,</w:t>
      </w:r>
    </w:p>
    <w:p w14:paraId="45D05D36"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razvoj visoke razine znanja i društvene svijesti o održivom razvoju urbanih područja kroz razvoj kružnog gospodarenja prostorom i zgradama uz informiranje javnosti te edukaciju o značaju kružnog gospodarenja</w:t>
      </w:r>
    </w:p>
    <w:p w14:paraId="45D05D37" w14:textId="77777777" w:rsidR="00496804" w:rsidRDefault="00496804">
      <w:pPr>
        <w:spacing w:line="240" w:lineRule="auto"/>
        <w:rPr>
          <w:rFonts w:ascii="Times New Roman" w:hAnsi="Times New Roman"/>
          <w:sz w:val="24"/>
        </w:rPr>
      </w:pPr>
    </w:p>
    <w:p w14:paraId="45D05D38" w14:textId="77777777" w:rsidR="00496804" w:rsidRDefault="0037359D">
      <w:pPr>
        <w:spacing w:line="240" w:lineRule="auto"/>
        <w:rPr>
          <w:rFonts w:ascii="Times New Roman" w:hAnsi="Times New Roman"/>
          <w:sz w:val="24"/>
        </w:rPr>
      </w:pPr>
      <w:r>
        <w:rPr>
          <w:rFonts w:ascii="Times New Roman" w:hAnsi="Times New Roman"/>
          <w:sz w:val="24"/>
        </w:rPr>
        <w:t>Svi navedeni ciljevi usklađeni su i s prioritetima EU definiranima za razdoblje do 2030. godine:</w:t>
      </w:r>
    </w:p>
    <w:p w14:paraId="45D05D39" w14:textId="77777777" w:rsidR="00496804" w:rsidRDefault="0037359D">
      <w:pPr>
        <w:pStyle w:val="Odlomakpopisa"/>
        <w:numPr>
          <w:ilvl w:val="0"/>
          <w:numId w:val="22"/>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smanjenje emisija stakleničkih plinova za 40% (s razine emisija iz 1990.)</w:t>
      </w:r>
    </w:p>
    <w:p w14:paraId="45D05D3A" w14:textId="77777777" w:rsidR="00496804" w:rsidRDefault="0037359D">
      <w:pPr>
        <w:pStyle w:val="Odlomakpopisa"/>
        <w:numPr>
          <w:ilvl w:val="0"/>
          <w:numId w:val="22"/>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27% energije u EU iz obnovljivih izvora</w:t>
      </w:r>
    </w:p>
    <w:p w14:paraId="45D05D3B" w14:textId="77777777" w:rsidR="00496804" w:rsidRDefault="0037359D">
      <w:pPr>
        <w:pStyle w:val="Odlomakpopisa"/>
        <w:numPr>
          <w:ilvl w:val="0"/>
          <w:numId w:val="22"/>
        </w:numPr>
        <w:spacing w:line="240" w:lineRule="auto"/>
        <w:ind w:left="426" w:hanging="284"/>
        <w:rPr>
          <w:rFonts w:ascii="Times New Roman" w:hAnsi="Times New Roman" w:cs="Times New Roman"/>
          <w:b w:val="0"/>
          <w:sz w:val="24"/>
        </w:rPr>
      </w:pPr>
      <w:r>
        <w:rPr>
          <w:rFonts w:ascii="Times New Roman" w:hAnsi="Times New Roman" w:cs="Times New Roman"/>
          <w:b w:val="0"/>
          <w:bCs/>
          <w:sz w:val="24"/>
        </w:rPr>
        <w:t>32,5% poboljšanje energetske učinkovitosti.</w:t>
      </w:r>
    </w:p>
    <w:p w14:paraId="45D05D3C" w14:textId="77777777" w:rsidR="00496804" w:rsidRDefault="00496804">
      <w:pPr>
        <w:spacing w:line="240" w:lineRule="auto"/>
        <w:rPr>
          <w:rFonts w:ascii="Times New Roman" w:hAnsi="Times New Roman"/>
          <w:sz w:val="24"/>
        </w:rPr>
      </w:pPr>
    </w:p>
    <w:p w14:paraId="7BD5BD09" w14:textId="6A378584" w:rsidR="00BF11F2" w:rsidRDefault="00F05C40">
      <w:pPr>
        <w:spacing w:line="240" w:lineRule="auto"/>
        <w:rPr>
          <w:rFonts w:ascii="Times New Roman" w:hAnsi="Times New Roman"/>
          <w:sz w:val="24"/>
        </w:rPr>
      </w:pPr>
      <w:r>
        <w:rPr>
          <w:rFonts w:ascii="Times New Roman" w:hAnsi="Times New Roman"/>
          <w:sz w:val="24"/>
        </w:rPr>
        <w:t>K</w:t>
      </w:r>
      <w:r w:rsidRPr="00944AD4">
        <w:rPr>
          <w:rFonts w:ascii="Times New Roman" w:hAnsi="Times New Roman"/>
          <w:sz w:val="24"/>
        </w:rPr>
        <w:t>ao dio Europskog zelenog plana, E</w:t>
      </w:r>
      <w:r>
        <w:rPr>
          <w:rFonts w:ascii="Times New Roman" w:hAnsi="Times New Roman"/>
          <w:sz w:val="24"/>
        </w:rPr>
        <w:t>K je</w:t>
      </w:r>
      <w:r w:rsidRPr="00944AD4">
        <w:rPr>
          <w:rFonts w:ascii="Times New Roman" w:hAnsi="Times New Roman"/>
          <w:sz w:val="24"/>
        </w:rPr>
        <w:t xml:space="preserve"> u rujnu 2020. </w:t>
      </w:r>
      <w:r>
        <w:rPr>
          <w:rFonts w:ascii="Times New Roman" w:hAnsi="Times New Roman"/>
          <w:sz w:val="24"/>
        </w:rPr>
        <w:t xml:space="preserve">godine </w:t>
      </w:r>
      <w:r w:rsidRPr="00944AD4">
        <w:rPr>
          <w:rFonts w:ascii="Times New Roman" w:hAnsi="Times New Roman"/>
          <w:sz w:val="24"/>
        </w:rPr>
        <w:t>predstavila sveobuhvatan plan za povećanje klimatskih ciljeva E</w:t>
      </w:r>
      <w:r>
        <w:rPr>
          <w:rFonts w:ascii="Times New Roman" w:hAnsi="Times New Roman"/>
          <w:sz w:val="24"/>
        </w:rPr>
        <w:t>U</w:t>
      </w:r>
      <w:r w:rsidRPr="00944AD4">
        <w:rPr>
          <w:rFonts w:ascii="Times New Roman" w:hAnsi="Times New Roman"/>
          <w:sz w:val="24"/>
        </w:rPr>
        <w:t xml:space="preserve"> do 2030. </w:t>
      </w:r>
      <w:r>
        <w:rPr>
          <w:rFonts w:ascii="Times New Roman" w:hAnsi="Times New Roman"/>
          <w:sz w:val="24"/>
        </w:rPr>
        <w:t>godine, kojim</w:t>
      </w:r>
      <w:r w:rsidRPr="00944AD4">
        <w:rPr>
          <w:rFonts w:ascii="Times New Roman" w:hAnsi="Times New Roman"/>
          <w:sz w:val="24"/>
        </w:rPr>
        <w:t xml:space="preserve"> se predlaže povećanje trenutačnog cilja sa najmanje 40% smanjenja emisija stakleničkih plinova na najmanje 50% ili 55% u usporedbi s razinama emisija iz 1990. godine.</w:t>
      </w:r>
    </w:p>
    <w:p w14:paraId="181FAD93" w14:textId="77777777" w:rsidR="00BF11F2" w:rsidRDefault="00BF11F2">
      <w:pPr>
        <w:spacing w:line="240" w:lineRule="auto"/>
        <w:rPr>
          <w:rFonts w:ascii="Times New Roman" w:hAnsi="Times New Roman"/>
          <w:sz w:val="24"/>
        </w:rPr>
      </w:pPr>
    </w:p>
    <w:p w14:paraId="45D05D3F" w14:textId="1E110314" w:rsidR="00496804" w:rsidRDefault="0037359D">
      <w:pPr>
        <w:spacing w:line="240" w:lineRule="auto"/>
        <w:rPr>
          <w:rFonts w:ascii="Times New Roman" w:hAnsi="Times New Roman"/>
          <w:sz w:val="24"/>
        </w:rPr>
      </w:pPr>
      <w:r>
        <w:rPr>
          <w:rFonts w:ascii="Times New Roman" w:hAnsi="Times New Roman"/>
          <w:sz w:val="24"/>
        </w:rPr>
        <w:t xml:space="preserve">EZP kao jednu od svojih područja politika navodi </w:t>
      </w:r>
      <w:r w:rsidR="00007855">
        <w:rPr>
          <w:rFonts w:ascii="Times New Roman" w:hAnsi="Times New Roman"/>
          <w:sz w:val="24"/>
        </w:rPr>
        <w:t>„</w:t>
      </w:r>
      <w:r>
        <w:rPr>
          <w:rFonts w:ascii="Times New Roman" w:hAnsi="Times New Roman"/>
          <w:sz w:val="24"/>
        </w:rPr>
        <w:t>Izgradnju i obnovu</w:t>
      </w:r>
      <w:r w:rsidR="00007855">
        <w:rPr>
          <w:rFonts w:ascii="Times New Roman" w:hAnsi="Times New Roman"/>
          <w:sz w:val="24"/>
        </w:rPr>
        <w:t>“</w:t>
      </w:r>
      <w:r>
        <w:rPr>
          <w:rFonts w:ascii="Times New Roman" w:hAnsi="Times New Roman"/>
          <w:sz w:val="24"/>
        </w:rPr>
        <w:t xml:space="preserve"> – Potreba za čišćim sektorom građevinarstva, unutar kojeg najavljuje početak </w:t>
      </w:r>
      <w:r w:rsidR="00007855">
        <w:rPr>
          <w:rFonts w:ascii="Times New Roman" w:hAnsi="Times New Roman"/>
          <w:sz w:val="24"/>
        </w:rPr>
        <w:t>„</w:t>
      </w:r>
      <w:r>
        <w:rPr>
          <w:rFonts w:ascii="Times New Roman" w:hAnsi="Times New Roman"/>
          <w:sz w:val="24"/>
        </w:rPr>
        <w:t>vala obnove</w:t>
      </w:r>
      <w:r w:rsidR="00007855">
        <w:rPr>
          <w:rFonts w:ascii="Times New Roman" w:hAnsi="Times New Roman"/>
          <w:sz w:val="24"/>
        </w:rPr>
        <w:t>“</w:t>
      </w:r>
      <w:r>
        <w:rPr>
          <w:rFonts w:ascii="Times New Roman" w:hAnsi="Times New Roman"/>
          <w:sz w:val="24"/>
        </w:rPr>
        <w:t xml:space="preserve"> s naglaskom na cjenovno pristupačno stanovanje, škole i bolnice. Cilj su energetski učinkovite zgrade, projektiranje u skladu s kružnim gospodarstvom, viši stupanj digitalizacije, veća otpornost na klimatske promjene, stroga provedba pravila o energetskim svojstvima zgrade.</w:t>
      </w:r>
      <w:r>
        <w:rPr>
          <w:rFonts w:ascii="Times New Roman" w:hAnsi="Times New Roman"/>
          <w:sz w:val="24"/>
        </w:rPr>
        <w:br w:type="page"/>
      </w:r>
    </w:p>
    <w:p w14:paraId="45D05D4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5" w:name="_Toc51851649"/>
      <w:r>
        <w:rPr>
          <w:rFonts w:ascii="Times New Roman" w:hAnsi="Times New Roman" w:cs="Times New Roman"/>
          <w:sz w:val="24"/>
          <w:szCs w:val="24"/>
        </w:rPr>
        <w:lastRenderedPageBreak/>
        <w:t>SREDNJOROČNA VIZIJA RAZVOJA</w:t>
      </w:r>
      <w:bookmarkEnd w:id="155"/>
    </w:p>
    <w:p w14:paraId="45D05D41" w14:textId="77777777" w:rsidR="00496804" w:rsidRDefault="00496804">
      <w:pPr>
        <w:pStyle w:val="tekst"/>
        <w:spacing w:line="240" w:lineRule="auto"/>
        <w:rPr>
          <w:rFonts w:ascii="Times New Roman" w:hAnsi="Times New Roman" w:cs="Times New Roman"/>
          <w:sz w:val="24"/>
          <w:szCs w:val="24"/>
        </w:rPr>
      </w:pPr>
    </w:p>
    <w:p w14:paraId="45D05D42" w14:textId="77777777" w:rsidR="00496804" w:rsidRDefault="0037359D">
      <w:pPr>
        <w:pBdr>
          <w:top w:val="single" w:sz="4" w:space="1" w:color="auto"/>
          <w:left w:val="single" w:sz="4" w:space="4" w:color="auto"/>
          <w:bottom w:val="single" w:sz="4" w:space="1" w:color="auto"/>
          <w:right w:val="single" w:sz="4" w:space="4" w:color="auto"/>
        </w:pBdr>
        <w:spacing w:line="240" w:lineRule="auto"/>
        <w:rPr>
          <w:rFonts w:ascii="Times New Roman" w:hAnsi="Times New Roman"/>
          <w:b/>
          <w:bCs/>
          <w:sz w:val="24"/>
          <w:lang w:eastAsia="hr-HR"/>
        </w:rPr>
      </w:pPr>
      <w:r>
        <w:rPr>
          <w:rFonts w:ascii="Times New Roman" w:hAnsi="Times New Roman"/>
          <w:b/>
          <w:iCs/>
          <w:sz w:val="24"/>
        </w:rPr>
        <w:t>Hrvatska u 2030. godini</w:t>
      </w:r>
      <w:r>
        <w:rPr>
          <w:rFonts w:ascii="Times New Roman" w:hAnsi="Times New Roman"/>
          <w:b/>
          <w:i/>
          <w:sz w:val="24"/>
        </w:rPr>
        <w:t xml:space="preserve"> </w:t>
      </w:r>
      <w:r>
        <w:rPr>
          <w:rFonts w:ascii="Times New Roman" w:hAnsi="Times New Roman"/>
          <w:b/>
          <w:iCs/>
          <w:sz w:val="24"/>
        </w:rPr>
        <w:t>je zemlja u čijim se urbanim područjima</w:t>
      </w:r>
      <w:r>
        <w:rPr>
          <w:rFonts w:ascii="Times New Roman" w:hAnsi="Times New Roman"/>
          <w:b/>
          <w:i/>
          <w:sz w:val="24"/>
        </w:rPr>
        <w:t xml:space="preserve"> </w:t>
      </w:r>
      <w:r>
        <w:rPr>
          <w:rFonts w:ascii="Times New Roman" w:hAnsi="Times New Roman"/>
          <w:b/>
          <w:bCs/>
          <w:sz w:val="24"/>
          <w:lang w:eastAsia="hr-HR"/>
        </w:rPr>
        <w:t xml:space="preserve">uspješno provodi model kružnog gospodarenja prostorom i zgradama, u kojemu se nekorišteni postojeći prostori i zgrade obnavljaju, smanjuje količina ukupno proizvedenog građevnog otpada, promiču inovacije u razvoju kružnih materijala i proizvoda, a u projektiranju i izvođenju zgrada primjenjuju se načela eko-dizajna. </w:t>
      </w:r>
    </w:p>
    <w:p w14:paraId="45D05D43" w14:textId="77777777" w:rsidR="00496804" w:rsidRDefault="0037359D">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rPr>
      </w:pPr>
      <w:r>
        <w:rPr>
          <w:rFonts w:ascii="Times New Roman" w:hAnsi="Times New Roman"/>
          <w:b/>
          <w:iCs/>
          <w:sz w:val="24"/>
        </w:rPr>
        <w:t>Hrvatska u 2030. godini je zemlja koja prepoznaje, revitalizira, unapređuje i vrednuje svoj izgrađeni prostor kao temeljni resurs, a građanima je osiguran</w:t>
      </w:r>
      <w:r>
        <w:rPr>
          <w:rFonts w:ascii="Times New Roman" w:hAnsi="Times New Roman"/>
          <w:iCs/>
          <w:sz w:val="24"/>
        </w:rPr>
        <w:t xml:space="preserve"> </w:t>
      </w:r>
      <w:r>
        <w:rPr>
          <w:rFonts w:ascii="Times New Roman" w:hAnsi="Times New Roman"/>
          <w:b/>
          <w:iCs/>
          <w:sz w:val="24"/>
        </w:rPr>
        <w:t>zdrav, društveno funkcionalan, siguran životni i radni okoliš</w:t>
      </w:r>
      <w:r>
        <w:rPr>
          <w:rFonts w:ascii="Times New Roman" w:hAnsi="Times New Roman"/>
          <w:b/>
          <w:i/>
          <w:sz w:val="24"/>
        </w:rPr>
        <w:t>.</w:t>
      </w:r>
    </w:p>
    <w:p w14:paraId="45D05D44" w14:textId="77777777" w:rsidR="00496804" w:rsidRDefault="00496804">
      <w:pPr>
        <w:spacing w:line="240" w:lineRule="auto"/>
        <w:jc w:val="left"/>
        <w:rPr>
          <w:rFonts w:ascii="Times New Roman" w:hAnsi="Times New Roman"/>
          <w:sz w:val="24"/>
        </w:rPr>
      </w:pPr>
    </w:p>
    <w:p w14:paraId="45D05D45" w14:textId="4129E47D" w:rsidR="00496804" w:rsidRDefault="0037359D">
      <w:pPr>
        <w:spacing w:line="240" w:lineRule="auto"/>
        <w:rPr>
          <w:rFonts w:ascii="Times New Roman" w:hAnsi="Times New Roman"/>
          <w:sz w:val="24"/>
          <w:lang w:eastAsia="hr-HR"/>
        </w:rPr>
      </w:pPr>
      <w:r>
        <w:rPr>
          <w:rFonts w:ascii="Times New Roman" w:hAnsi="Times New Roman"/>
          <w:sz w:val="24"/>
          <w:lang w:eastAsia="hr-HR"/>
        </w:rPr>
        <w:t>Ostvarenjem vizije razvoja kružnog gospodarenja prostorom i zgradama doprinosi se realizaciji temeljnih učinaka te unaprjeđenju svih aspekata djelovanja i razvoja prisutnih na području gradova i naselja, a koji su vidljivi u tri aspekta održivog razvoja – društveni, gospodarski i okolišni. U središtu vizije razvoja je ostvarivanje veće trajnosti zgrada u prostoru čime bi se ostvarili manji operativni troškovi i troškovi održavanja, sporija amortizacija, veća vrijednost imovine, ugodniji boravak za stanovnike, veća sigurnost stanovanja i dr. Povećanje trajnosti zgrada se postiže: pravilnim upravljanjem i održavanjem zgrada, ponovnim korištenjem nekorištenih zgrada, odgovornom i održivom upotrebom građevnih materijala i proizvoda, poticanjem montažne gradnje koja omogućava da se dijelovi zgrade relativno jednostavno mogu popraviti ili zamijeniti, a materijali iskoristiti za druge projekte, planiranjem alternativnih korištenja prilikom obnova nekorištenih zgrada, kako prostora tako i otpadnog materijala, planiranjem redovitih revizija i kontrole zgrada koje su prošle ciklus reprogramiranja. Ostvarenjem vizije povećala bi se primjena OIE te energetska učinkovitost u zgradarstvu što bi doprinijelo ostvarenju ciljeva energetske učinkovitosti NRS 2030. Ostvarenjem vizije utjecalo bi se na smanjenje građevnog otpada te povećanje njegove oporabe</w:t>
      </w:r>
      <w:r>
        <w:rPr>
          <w:rStyle w:val="Referencakomentara"/>
          <w:rFonts w:ascii="Times New Roman" w:eastAsia="Arial Unicode MS" w:hAnsi="Times New Roman"/>
          <w:sz w:val="24"/>
          <w:szCs w:val="24"/>
          <w:lang w:val="en-US" w:eastAsia="en-US"/>
        </w:rPr>
        <w:t>.</w:t>
      </w:r>
      <w:r>
        <w:rPr>
          <w:rFonts w:ascii="Times New Roman" w:hAnsi="Times New Roman"/>
          <w:sz w:val="24"/>
          <w:lang w:eastAsia="hr-HR"/>
        </w:rPr>
        <w:t xml:space="preserve"> Osim navedenog</w:t>
      </w:r>
      <w:r w:rsidR="00496755">
        <w:rPr>
          <w:rFonts w:ascii="Times New Roman" w:hAnsi="Times New Roman"/>
          <w:sz w:val="24"/>
          <w:lang w:eastAsia="hr-HR"/>
        </w:rPr>
        <w:t>a</w:t>
      </w:r>
      <w:r>
        <w:rPr>
          <w:rFonts w:ascii="Times New Roman" w:hAnsi="Times New Roman"/>
          <w:sz w:val="24"/>
          <w:lang w:eastAsia="hr-HR"/>
        </w:rPr>
        <w:t>, vizija doprinosi razvoju inovacija u stvaranju novih materijala te uspostavljanje eko-dizajna. Ostvarenjem vizije ujedno će se pridonijeti ostvarenju vizije NRS 2030 koja ističe važnost zdravog i održivog razvoja, vrednovanje postojećih potencijala te visoku kvalitetu života i okoliša, a sve kroz usporavanje nepotrebnog širenja građevinskih područja, aktiviranjem zanemarenih prostora, učinkovitijim korištenjem prostora u okviru postojeće namjene te smanjenjem količine građevnog otpada.</w:t>
      </w:r>
    </w:p>
    <w:p w14:paraId="45D05D46" w14:textId="77777777" w:rsidR="00496804" w:rsidRDefault="00496804">
      <w:pPr>
        <w:spacing w:line="240" w:lineRule="auto"/>
        <w:rPr>
          <w:rFonts w:ascii="Times New Roman" w:hAnsi="Times New Roman"/>
          <w:sz w:val="24"/>
          <w:lang w:eastAsia="hr-HR"/>
        </w:rPr>
      </w:pPr>
    </w:p>
    <w:p w14:paraId="45D05D47" w14:textId="77777777" w:rsidR="00496804" w:rsidRDefault="00496804">
      <w:pPr>
        <w:spacing w:line="240" w:lineRule="auto"/>
        <w:jc w:val="left"/>
        <w:rPr>
          <w:rFonts w:ascii="Times New Roman" w:eastAsiaTheme="minorHAnsi" w:hAnsi="Times New Roman"/>
          <w:b/>
          <w:sz w:val="24"/>
          <w:lang w:eastAsia="hr-HR"/>
        </w:rPr>
      </w:pPr>
    </w:p>
    <w:p w14:paraId="45D05D48" w14:textId="77777777" w:rsidR="00496804" w:rsidRDefault="0037359D">
      <w:pPr>
        <w:pStyle w:val="Naslov2"/>
        <w:ind w:left="426" w:hanging="426"/>
        <w:rPr>
          <w:rFonts w:ascii="Times New Roman" w:hAnsi="Times New Roman" w:cs="Times New Roman"/>
          <w:color w:val="auto"/>
          <w:sz w:val="24"/>
          <w:szCs w:val="24"/>
        </w:rPr>
      </w:pPr>
      <w:bookmarkStart w:id="156" w:name="_Toc51851650"/>
      <w:bookmarkStart w:id="157" w:name="_Toc37155513"/>
      <w:r>
        <w:rPr>
          <w:rFonts w:ascii="Times New Roman" w:hAnsi="Times New Roman" w:cs="Times New Roman"/>
          <w:color w:val="auto"/>
          <w:sz w:val="24"/>
          <w:szCs w:val="24"/>
        </w:rPr>
        <w:t>TEMELJI VIZIJE RAZVOJA</w:t>
      </w:r>
      <w:bookmarkEnd w:id="156"/>
      <w:bookmarkEnd w:id="157"/>
    </w:p>
    <w:p w14:paraId="45D05D49" w14:textId="77777777" w:rsidR="00496804" w:rsidRDefault="00496804">
      <w:pPr>
        <w:spacing w:line="240" w:lineRule="auto"/>
        <w:rPr>
          <w:rFonts w:ascii="Times New Roman" w:hAnsi="Times New Roman"/>
          <w:sz w:val="24"/>
          <w:lang w:eastAsia="hr-HR"/>
        </w:rPr>
      </w:pPr>
    </w:p>
    <w:p w14:paraId="45D05D4A"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Vizija razvoja kružnog gospodarenja prostorom i zgradama može se sagledati s aspekta temeljnih učinaka, koji pobliže definiraju koncept cjelokupnog strateškog okvira. Najznačajniji temelji su:</w:t>
      </w:r>
    </w:p>
    <w:p w14:paraId="45D05D4B" w14:textId="77777777" w:rsidR="00496804" w:rsidRDefault="00496804">
      <w:pPr>
        <w:spacing w:line="240" w:lineRule="auto"/>
        <w:rPr>
          <w:rFonts w:ascii="Times New Roman" w:hAnsi="Times New Roman"/>
          <w:sz w:val="24"/>
          <w:lang w:eastAsia="hr-HR"/>
        </w:rPr>
      </w:pPr>
    </w:p>
    <w:p w14:paraId="45D05D4C"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Povećanje trajnosti zgrada u prostoru</w:t>
      </w:r>
    </w:p>
    <w:p w14:paraId="45D05D4D"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Zgrade projektirane i izgrađene s ciljem povećanja trajnosti i smanjenja utjecaja na okoliš tijekom životnog vijeka stvaraju izravne gospodarske koristi poput manjih operativnih troškova i troškova održavanja, sporije amortizacije i veće vrijednosti imovine. Društveni učinci su ugodniji boravak, sigurnije korištenje i bolje zdravlje ljudi te povećanje produktivnosti. </w:t>
      </w:r>
    </w:p>
    <w:p w14:paraId="45D05D4E" w14:textId="77777777" w:rsidR="00496804" w:rsidRDefault="00496804">
      <w:pPr>
        <w:spacing w:line="240" w:lineRule="auto"/>
        <w:rPr>
          <w:rFonts w:ascii="Times New Roman" w:hAnsi="Times New Roman"/>
          <w:sz w:val="24"/>
          <w:lang w:eastAsia="hr-HR"/>
        </w:rPr>
      </w:pPr>
    </w:p>
    <w:p w14:paraId="45D05D4F"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 xml:space="preserve">Povećanje energetske učinkovitosti </w:t>
      </w:r>
    </w:p>
    <w:p w14:paraId="45D05D50" w14:textId="0DAFC9BF" w:rsidR="00496804" w:rsidRDefault="0037359D">
      <w:pPr>
        <w:spacing w:line="240" w:lineRule="auto"/>
        <w:rPr>
          <w:rFonts w:ascii="Times New Roman" w:hAnsi="Times New Roman"/>
          <w:sz w:val="24"/>
          <w:lang w:eastAsia="hr-HR"/>
        </w:rPr>
      </w:pPr>
      <w:r>
        <w:rPr>
          <w:rFonts w:ascii="Times New Roman" w:hAnsi="Times New Roman"/>
          <w:sz w:val="24"/>
          <w:lang w:eastAsia="hr-HR"/>
        </w:rPr>
        <w:t>Zgrade su odgovorne za otprilike 40% ukupne potrošnje energije u E</w:t>
      </w:r>
      <w:r w:rsidR="00EA4B77">
        <w:rPr>
          <w:rFonts w:ascii="Times New Roman" w:hAnsi="Times New Roman"/>
          <w:sz w:val="24"/>
          <w:lang w:eastAsia="hr-HR"/>
        </w:rPr>
        <w:t>U</w:t>
      </w:r>
      <w:r>
        <w:rPr>
          <w:rFonts w:ascii="Times New Roman" w:hAnsi="Times New Roman"/>
          <w:sz w:val="24"/>
          <w:lang w:eastAsia="hr-HR"/>
        </w:rPr>
        <w:t xml:space="preserve">. Potrošnja energije u zgradama dijeli se na potrošnju operativne energije (faza korištenja zgrade) i ugrađene energije (proizvodnja građevnih proizvoda i izgradnja). Procjena je da je između 5 i 10% ukupne potrošnje energije u EU-u povezano s proizvodnjom građevnih proizvoda. Ukupni utjecaj zgrade na okoliš je značajan, od faze njene izgradnje, korištenja i uklanjanja. Ako se želi učinkovito riješiti utjecaj zgrade na okoliš, </w:t>
      </w:r>
      <w:r>
        <w:rPr>
          <w:rFonts w:ascii="Times New Roman" w:hAnsi="Times New Roman"/>
          <w:sz w:val="24"/>
          <w:lang w:eastAsia="hr-HR"/>
        </w:rPr>
        <w:lastRenderedPageBreak/>
        <w:t xml:space="preserve">treba razmotriti njezin cijeli životni vijek. U protivnom se utjecaji mogu previdjeti ili mogu nastati dodatni problemi u drugim dijelovima životnog vijeka zgrade. </w:t>
      </w:r>
    </w:p>
    <w:p w14:paraId="45D05D51" w14:textId="77777777" w:rsidR="00496804" w:rsidRDefault="00496804">
      <w:pPr>
        <w:spacing w:line="240" w:lineRule="auto"/>
        <w:rPr>
          <w:rFonts w:ascii="Times New Roman" w:hAnsi="Times New Roman"/>
          <w:sz w:val="24"/>
          <w:lang w:eastAsia="hr-HR"/>
        </w:rPr>
      </w:pPr>
    </w:p>
    <w:p w14:paraId="45D05D52"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Povećanje primjene obnovljivih izvora energije</w:t>
      </w:r>
    </w:p>
    <w:p w14:paraId="45D05D53"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Energiju je potrebno proizvoditi, skladištiti i koristiti na način da se minimalizira negativan utjecaj na okoliš. Prelazak na sustave za korištenje solarno termičke, solarne, geotermalne energije, biomase odnosno vode pridonijet će smanjenju emisija ugljikovog dioksida.</w:t>
      </w:r>
    </w:p>
    <w:p w14:paraId="45D05D54" w14:textId="77777777" w:rsidR="00496804" w:rsidRDefault="00496804">
      <w:pPr>
        <w:spacing w:line="240" w:lineRule="auto"/>
        <w:rPr>
          <w:rFonts w:ascii="Times New Roman" w:hAnsi="Times New Roman"/>
          <w:sz w:val="24"/>
          <w:lang w:eastAsia="hr-HR"/>
        </w:rPr>
      </w:pPr>
    </w:p>
    <w:p w14:paraId="45D05D55"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Smanjenje građevnog otpada</w:t>
      </w:r>
    </w:p>
    <w:p w14:paraId="45D05D56"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Prema Zakonu o gradnji jedan od temeljnih zahtjeva za građevinu odnosi se na održivu uporabu prirodnih izvora. Tim zahtjevom obavezuje se da sve građevine, pa tako i zgrade, moraju biti projektirane, izgrađene i uklonjene tako da je uporaba prirodnih izvora održiva, a posebno se mora zajamčiti ponovna upotreba ili mogućnost oporabe građevine, njezinih materijala i dijelova nakon uklanjanja, trajnost građevine i uporaba okolišu prihvatljivih sirovina i sekundarnih materijala.</w:t>
      </w:r>
    </w:p>
    <w:p w14:paraId="45D05D57" w14:textId="2BDB4FB2"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Kod izgradnje i korištenja zgrada u EU stvara se otprilike trećina količine ukupno proizvedenog otpada te je sektor graditeljstva povezan s pritiscima na okoliš do kojih dolazi u različitim fazama životnog vijeka zgrade, uključujući proizvodnju građevnih proizvoda, izgradnju zgrade, njezino korištenje i obnovu te fazu gospodarenja građevnim otpadom. </w:t>
      </w:r>
    </w:p>
    <w:p w14:paraId="45D05D58"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Korištenje resursa uvelike je određeno odlukama i izborima donesenima tijekom projektiranja u vezi s građevnim materijalima. Velika većina građevnog otpada može se oporabiti čime se mogu ostvariti značajne koristi za resurse i okoliš. Oporaba ili ponovno korištenje materijala ili čak cijelih proizvoda sve su važniji za povećanje učinkovitosti korištenja materijala i za izbjegavanje negativnih utjecaja povezanih s neobrađenim materijalom. </w:t>
      </w:r>
    </w:p>
    <w:p w14:paraId="45D05D59" w14:textId="77777777" w:rsidR="00496804" w:rsidRDefault="00496804">
      <w:pPr>
        <w:spacing w:line="240" w:lineRule="auto"/>
        <w:rPr>
          <w:rFonts w:ascii="Times New Roman" w:hAnsi="Times New Roman"/>
          <w:sz w:val="24"/>
          <w:lang w:eastAsia="hr-HR"/>
        </w:rPr>
      </w:pPr>
    </w:p>
    <w:p w14:paraId="45D05D5A"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Inovacija u razvoju novih materijala i proizvoda</w:t>
      </w:r>
    </w:p>
    <w:p w14:paraId="45D05D5B" w14:textId="178D390E" w:rsidR="00496804" w:rsidRDefault="008F601C">
      <w:pPr>
        <w:spacing w:line="240" w:lineRule="auto"/>
        <w:rPr>
          <w:rFonts w:ascii="Times New Roman" w:hAnsi="Times New Roman"/>
          <w:sz w:val="24"/>
          <w:lang w:eastAsia="hr-HR"/>
        </w:rPr>
      </w:pPr>
      <w:r>
        <w:rPr>
          <w:rFonts w:ascii="Times New Roman" w:hAnsi="Times New Roman"/>
          <w:sz w:val="24"/>
          <w:lang w:eastAsia="hr-HR"/>
        </w:rPr>
        <w:t>U</w:t>
      </w:r>
      <w:r w:rsidR="0037359D">
        <w:rPr>
          <w:rFonts w:ascii="Times New Roman" w:hAnsi="Times New Roman"/>
          <w:sz w:val="24"/>
          <w:lang w:eastAsia="hr-HR"/>
        </w:rPr>
        <w:t xml:space="preserve"> području razvoja novih materijala bit</w:t>
      </w:r>
      <w:r>
        <w:rPr>
          <w:rFonts w:ascii="Times New Roman" w:hAnsi="Times New Roman"/>
          <w:sz w:val="24"/>
          <w:lang w:eastAsia="hr-HR"/>
        </w:rPr>
        <w:t>i</w:t>
      </w:r>
      <w:r w:rsidR="0037359D">
        <w:rPr>
          <w:rFonts w:ascii="Times New Roman" w:hAnsi="Times New Roman"/>
          <w:sz w:val="24"/>
          <w:lang w:eastAsia="hr-HR"/>
        </w:rPr>
        <w:t xml:space="preserve"> će potrebno: kontinuirano ulaganje u daljnja istraživanja i interdisciplinarni rad znanstvene zajednice, javnog i privatnog sektora, ispitivati i pratiti životni vijek građevina i sistematizirati materijale u odnosu na njihov očekivani životni vijek, performanse i mogućnost prenamjene, pružati podršku razvoju resursno učinkovitih proizvoda koji se lako popravljaju i demontiraju, poticati korištenje i razvoj materijala prema </w:t>
      </w:r>
      <w:r w:rsidR="0037359D">
        <w:rPr>
          <w:rFonts w:ascii="Times New Roman" w:hAnsi="Times New Roman"/>
          <w:i/>
          <w:sz w:val="24"/>
          <w:lang w:eastAsia="hr-HR"/>
        </w:rPr>
        <w:t>Cradle to Cradle</w:t>
      </w:r>
      <w:r w:rsidR="0037359D">
        <w:rPr>
          <w:rFonts w:ascii="Times New Roman" w:hAnsi="Times New Roman"/>
          <w:sz w:val="24"/>
          <w:lang w:eastAsia="hr-HR"/>
        </w:rPr>
        <w:t xml:space="preserve"> načelima te osigurati da svi novo razvijeni materijali i tehnike mogu biti popravljeni i ponovo upotrjebljeni.</w:t>
      </w:r>
    </w:p>
    <w:p w14:paraId="45D05D5C" w14:textId="77777777" w:rsidR="00496804" w:rsidRDefault="00496804">
      <w:pPr>
        <w:spacing w:line="240" w:lineRule="auto"/>
        <w:rPr>
          <w:rFonts w:ascii="Times New Roman" w:hAnsi="Times New Roman"/>
          <w:sz w:val="24"/>
          <w:lang w:eastAsia="hr-HR"/>
        </w:rPr>
      </w:pPr>
    </w:p>
    <w:p w14:paraId="45D05D5D"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Uspostavljanje eko-dizajna</w:t>
      </w:r>
    </w:p>
    <w:p w14:paraId="45D05D5E"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Intenziviranje primjena načela i pristupa eko-dizajna, koji u proces planiranja ugrađuje kriterije bitne za održivosti i zaštitu okoliša, kao što su energetska učinkovitost, oporabljivost proizvoda, trajnost, kako bi se izbalansirao odnos kvalitete proizvoda i njegovog </w:t>
      </w:r>
      <w:r>
        <w:rPr>
          <w:rFonts w:ascii="Times New Roman" w:hAnsi="Times New Roman"/>
          <w:sz w:val="24"/>
        </w:rPr>
        <w:t>cjeloživotnog</w:t>
      </w:r>
      <w:r>
        <w:rPr>
          <w:rFonts w:ascii="Times New Roman" w:hAnsi="Times New Roman"/>
          <w:sz w:val="24"/>
          <w:lang w:eastAsia="hr-HR"/>
        </w:rPr>
        <w:t xml:space="preserve"> vijeka u skladu s njegovom idealnom uporabom. </w:t>
      </w:r>
      <w:r>
        <w:rPr>
          <w:rFonts w:ascii="Times New Roman" w:hAnsi="Times New Roman"/>
          <w:sz w:val="24"/>
        </w:rPr>
        <w:t>Funkcionalnost, isplativost i kvaliteta zgrada tijekom cjeloživotnog vijeka trajanja ocjenjuju se postojećim sustavima certificiranja održive gradnje, a procjenama doprinosi razvijena metodologija izračuna ugljičnog otiska zgrada.</w:t>
      </w:r>
    </w:p>
    <w:p w14:paraId="45D05D5F" w14:textId="0D1C7441" w:rsidR="00496804" w:rsidRDefault="00496804">
      <w:pPr>
        <w:spacing w:line="240" w:lineRule="auto"/>
        <w:rPr>
          <w:rFonts w:ascii="Times New Roman" w:hAnsi="Times New Roman"/>
          <w:sz w:val="24"/>
          <w:lang w:eastAsia="hr-HR"/>
        </w:rPr>
      </w:pPr>
    </w:p>
    <w:p w14:paraId="1830DD8B" w14:textId="782C5572" w:rsidR="00EB5469" w:rsidRDefault="009F7EF1" w:rsidP="00EB5469">
      <w:pPr>
        <w:spacing w:line="240" w:lineRule="auto"/>
        <w:rPr>
          <w:rFonts w:ascii="Times New Roman" w:hAnsi="Times New Roman"/>
          <w:b/>
          <w:bCs/>
          <w:sz w:val="24"/>
          <w:lang w:eastAsia="hr-HR"/>
        </w:rPr>
      </w:pPr>
      <w:r>
        <w:rPr>
          <w:rFonts w:ascii="Times New Roman" w:hAnsi="Times New Roman"/>
          <w:b/>
          <w:bCs/>
          <w:sz w:val="24"/>
          <w:lang w:eastAsia="hr-HR"/>
        </w:rPr>
        <w:t>Načelo „</w:t>
      </w:r>
      <w:r w:rsidR="00EB5469">
        <w:rPr>
          <w:rFonts w:ascii="Times New Roman" w:hAnsi="Times New Roman"/>
          <w:b/>
          <w:bCs/>
          <w:sz w:val="24"/>
          <w:lang w:eastAsia="hr-HR"/>
        </w:rPr>
        <w:t xml:space="preserve">Ne </w:t>
      </w:r>
      <w:r w:rsidR="0040486A">
        <w:rPr>
          <w:rFonts w:ascii="Times New Roman" w:hAnsi="Times New Roman"/>
          <w:b/>
          <w:bCs/>
          <w:sz w:val="24"/>
          <w:lang w:eastAsia="hr-HR"/>
        </w:rPr>
        <w:t>nanosi</w:t>
      </w:r>
      <w:r>
        <w:rPr>
          <w:rFonts w:ascii="Times New Roman" w:hAnsi="Times New Roman"/>
          <w:b/>
          <w:bCs/>
          <w:sz w:val="24"/>
          <w:lang w:eastAsia="hr-HR"/>
        </w:rPr>
        <w:t xml:space="preserve"> značajnu štetu“</w:t>
      </w:r>
      <w:r w:rsidR="00EB5469">
        <w:rPr>
          <w:rFonts w:ascii="Times New Roman" w:hAnsi="Times New Roman"/>
          <w:b/>
          <w:bCs/>
          <w:sz w:val="24"/>
          <w:lang w:eastAsia="hr-HR"/>
        </w:rPr>
        <w:t xml:space="preserve"> </w:t>
      </w:r>
    </w:p>
    <w:p w14:paraId="17A48F9F" w14:textId="40BF7D45" w:rsidR="00EB5469" w:rsidRDefault="009F7EF1">
      <w:pPr>
        <w:spacing w:line="240" w:lineRule="auto"/>
        <w:rPr>
          <w:rFonts w:ascii="Times New Roman" w:hAnsi="Times New Roman"/>
          <w:sz w:val="24"/>
          <w:lang w:eastAsia="hr-HR"/>
        </w:rPr>
      </w:pPr>
      <w:r w:rsidRPr="009F7EF1">
        <w:rPr>
          <w:rFonts w:ascii="Times New Roman" w:hAnsi="Times New Roman"/>
          <w:sz w:val="24"/>
          <w:lang w:eastAsia="hr-HR"/>
        </w:rPr>
        <w:t xml:space="preserve">Pri provedbi svih mjera i aktivnosti ovog Programa osigurati će se primjena DNSH </w:t>
      </w:r>
      <w:r w:rsidR="00507A28">
        <w:rPr>
          <w:rFonts w:ascii="Times New Roman" w:hAnsi="Times New Roman"/>
          <w:sz w:val="24"/>
          <w:lang w:eastAsia="hr-HR"/>
        </w:rPr>
        <w:t>načel</w:t>
      </w:r>
      <w:r w:rsidRPr="009F7EF1">
        <w:rPr>
          <w:rFonts w:ascii="Times New Roman" w:hAnsi="Times New Roman"/>
          <w:sz w:val="24"/>
          <w:lang w:eastAsia="hr-HR"/>
        </w:rPr>
        <w:t>a (eng.</w:t>
      </w:r>
      <w:r>
        <w:rPr>
          <w:rFonts w:ascii="Times New Roman" w:hAnsi="Times New Roman"/>
          <w:sz w:val="24"/>
          <w:lang w:val="en-GB" w:eastAsia="hr-HR"/>
        </w:rPr>
        <w:t xml:space="preserve"> </w:t>
      </w:r>
      <w:r w:rsidRPr="009F7EF1">
        <w:rPr>
          <w:rFonts w:ascii="Times New Roman" w:hAnsi="Times New Roman"/>
          <w:sz w:val="24"/>
          <w:lang w:val="en-GB" w:eastAsia="hr-HR"/>
        </w:rPr>
        <w:t>“Do</w:t>
      </w:r>
      <w:r w:rsidRPr="009F7EF1">
        <w:rPr>
          <w:rFonts w:ascii="Times New Roman" w:hAnsi="Times New Roman"/>
          <w:sz w:val="24"/>
          <w:lang w:eastAsia="hr-HR"/>
        </w:rPr>
        <w:t xml:space="preserve"> no </w:t>
      </w:r>
      <w:r w:rsidRPr="009F7EF1">
        <w:rPr>
          <w:rFonts w:ascii="Times New Roman" w:hAnsi="Times New Roman"/>
          <w:sz w:val="24"/>
          <w:lang w:val="en-GB" w:eastAsia="hr-HR"/>
        </w:rPr>
        <w:t>significant harm</w:t>
      </w:r>
      <w:r w:rsidRPr="009F7EF1">
        <w:rPr>
          <w:rFonts w:ascii="Times New Roman" w:hAnsi="Times New Roman"/>
          <w:sz w:val="24"/>
          <w:lang w:eastAsia="hr-HR"/>
        </w:rPr>
        <w:t>“/„</w:t>
      </w:r>
      <w:r w:rsidR="0040486A">
        <w:rPr>
          <w:rFonts w:ascii="Times New Roman" w:hAnsi="Times New Roman"/>
          <w:sz w:val="24"/>
          <w:lang w:eastAsia="hr-HR"/>
        </w:rPr>
        <w:t>Ne nanosi</w:t>
      </w:r>
      <w:r w:rsidRPr="009F7EF1">
        <w:rPr>
          <w:rFonts w:ascii="Times New Roman" w:hAnsi="Times New Roman"/>
          <w:sz w:val="24"/>
          <w:lang w:eastAsia="hr-HR"/>
        </w:rPr>
        <w:t xml:space="preserve"> značajnu štetu“) koj</w:t>
      </w:r>
      <w:r w:rsidR="00507A28">
        <w:rPr>
          <w:rFonts w:ascii="Times New Roman" w:hAnsi="Times New Roman"/>
          <w:sz w:val="24"/>
          <w:lang w:eastAsia="hr-HR"/>
        </w:rPr>
        <w:t>e</w:t>
      </w:r>
      <w:r w:rsidRPr="009F7EF1">
        <w:rPr>
          <w:rFonts w:ascii="Times New Roman" w:hAnsi="Times New Roman"/>
          <w:sz w:val="24"/>
          <w:lang w:eastAsia="hr-HR"/>
        </w:rPr>
        <w:t xml:space="preserve"> podrazumijeva da investicije koje se sufinanciraju nemaju značajan negativan utjecaj na ublažavanje klimatskih promjena, na prilagođavanje klimatskim promjenama, na održivu uporabu i zaštitu voda i morskih resursa, na kružno gospodarstvo, uključujući prevenciju nastanka otpada i recikliranje, na kontrolu onečišćenja odnosno znatno povećanje emisija onečišćujućih tvari u zraku, vodu ili zemlji te na zaštitu i obnovu biološke raznolikosti i ekosustava.</w:t>
      </w:r>
    </w:p>
    <w:p w14:paraId="45D05D60" w14:textId="77777777" w:rsidR="00496804" w:rsidRDefault="00496804">
      <w:pPr>
        <w:spacing w:line="240" w:lineRule="auto"/>
        <w:rPr>
          <w:rFonts w:ascii="Times New Roman" w:hAnsi="Times New Roman"/>
          <w:sz w:val="24"/>
          <w:lang w:eastAsia="hr-HR"/>
        </w:rPr>
      </w:pPr>
    </w:p>
    <w:bookmarkEnd w:id="145"/>
    <w:p w14:paraId="45D05D6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br w:type="page"/>
      </w:r>
    </w:p>
    <w:p w14:paraId="45D05D62"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8" w:name="_Toc51851651"/>
      <w:r>
        <w:rPr>
          <w:rFonts w:ascii="Times New Roman" w:hAnsi="Times New Roman" w:cs="Times New Roman"/>
          <w:sz w:val="24"/>
          <w:szCs w:val="24"/>
        </w:rPr>
        <w:lastRenderedPageBreak/>
        <w:t>POSEBNI CILJEVI</w:t>
      </w:r>
      <w:bookmarkEnd w:id="158"/>
    </w:p>
    <w:p w14:paraId="45D05D63" w14:textId="77777777" w:rsidR="00496804" w:rsidRDefault="00496804">
      <w:pPr>
        <w:pStyle w:val="Bezproreda"/>
        <w:jc w:val="both"/>
        <w:rPr>
          <w:lang w:val="hr-HR"/>
        </w:rPr>
      </w:pPr>
    </w:p>
    <w:p w14:paraId="45D05D64"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Strateški okvir Programa razvoja KG sastoji se od posebnih ciljeva, mjera i aktivnosti te je koncept usklađen sa Zakonom o sustavu strateškog planiranja i upravljanja razvojem RH. </w:t>
      </w:r>
    </w:p>
    <w:p w14:paraId="45D05D65" w14:textId="77777777" w:rsidR="00496804" w:rsidRDefault="00496804">
      <w:pPr>
        <w:spacing w:line="240" w:lineRule="auto"/>
        <w:rPr>
          <w:rFonts w:ascii="Times New Roman" w:hAnsi="Times New Roman"/>
          <w:sz w:val="24"/>
          <w:lang w:eastAsia="hr-HR"/>
        </w:rPr>
      </w:pPr>
    </w:p>
    <w:p w14:paraId="45D05D66" w14:textId="1FD29C50"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Posebni ciljevi nadovezuju se na strateške ciljeve definirane u NRS 2030, a cjelokupan ovaj Program nadovezuje se na </w:t>
      </w:r>
      <w:r>
        <w:rPr>
          <w:rFonts w:ascii="Times New Roman" w:hAnsi="Times New Roman"/>
          <w:bCs/>
          <w:sz w:val="24"/>
          <w:lang w:eastAsia="hr-HR"/>
        </w:rPr>
        <w:t xml:space="preserve">strateški cilj </w:t>
      </w:r>
      <w:r>
        <w:rPr>
          <w:rFonts w:ascii="Times New Roman" w:hAnsi="Times New Roman"/>
          <w:bCs/>
          <w:i/>
          <w:iCs/>
          <w:sz w:val="24"/>
          <w:lang w:eastAsia="hr-HR"/>
        </w:rPr>
        <w:t>Ekološka i energetska tranzicija za klimatsku neutralnost</w:t>
      </w:r>
      <w:r>
        <w:rPr>
          <w:rFonts w:ascii="Times New Roman" w:hAnsi="Times New Roman"/>
          <w:sz w:val="24"/>
          <w:lang w:eastAsia="hr-HR"/>
        </w:rPr>
        <w:t xml:space="preserve"> koji se nalazi u okviru </w:t>
      </w:r>
      <w:r>
        <w:rPr>
          <w:rFonts w:ascii="Times New Roman" w:hAnsi="Times New Roman"/>
          <w:bCs/>
          <w:sz w:val="24"/>
          <w:lang w:eastAsia="hr-HR"/>
        </w:rPr>
        <w:t xml:space="preserve">razvojnog smjera </w:t>
      </w:r>
      <w:r>
        <w:rPr>
          <w:rFonts w:ascii="Times New Roman" w:hAnsi="Times New Roman"/>
          <w:bCs/>
          <w:i/>
          <w:iCs/>
          <w:sz w:val="24"/>
          <w:lang w:eastAsia="hr-HR"/>
        </w:rPr>
        <w:t>Zelena i digitalna tranzicija</w:t>
      </w:r>
      <w:r>
        <w:rPr>
          <w:rFonts w:ascii="Times New Roman" w:hAnsi="Times New Roman"/>
          <w:sz w:val="24"/>
          <w:lang w:eastAsia="hr-HR"/>
        </w:rPr>
        <w:t xml:space="preserve">. Navedeni razvojni smjer usmjeren je na jačanje otpornosti na klimatske promjene i smanjivanja rizika za okoliš postizanjem klimatske neutralnosti kroz održiv urbani razvoj, održivo upravljanje prostorom i održivu gradnju. U okviru navedenog strateškog cilja, nastoje se riješiti izazovi klimatskih promjena i posljedičnog uništavanja okoliša. Navedena je problematika prepoznata kao globalna, a zbog toga se zahtijevaju i globalni odgovori na rješavanje iste. U skladu s time, </w:t>
      </w:r>
      <w:r w:rsidR="00B82142">
        <w:rPr>
          <w:rFonts w:ascii="Times New Roman" w:hAnsi="Times New Roman"/>
          <w:sz w:val="24"/>
          <w:lang w:eastAsia="hr-HR"/>
        </w:rPr>
        <w:t>RH</w:t>
      </w:r>
      <w:r>
        <w:rPr>
          <w:rFonts w:ascii="Times New Roman" w:hAnsi="Times New Roman"/>
          <w:sz w:val="24"/>
          <w:lang w:eastAsia="hr-HR"/>
        </w:rPr>
        <w:t xml:space="preserve"> promiče svoje ekološke ciljeve i standarde koji su usklađeni s regulativom EU-a i UN-a te provedbom aktivnosti vezanih uz kružno gospodarenjem prostorom i zgradama pridonosi provedbi Europskog zelenog plana.</w:t>
      </w:r>
    </w:p>
    <w:p w14:paraId="45D05D67" w14:textId="77777777" w:rsidR="00496804" w:rsidRDefault="00496804">
      <w:pPr>
        <w:spacing w:line="240" w:lineRule="auto"/>
        <w:rPr>
          <w:rFonts w:ascii="Times New Roman" w:hAnsi="Times New Roman"/>
          <w:sz w:val="24"/>
          <w:lang w:eastAsia="hr-HR"/>
        </w:rPr>
      </w:pPr>
    </w:p>
    <w:p w14:paraId="45D05D68"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Sukladno identificiranim razvojnim potrebama i potencijalima te utvrđenoj viziji razvoja, definirani su sljedeći posebni ciljevi razvoja kružnog gospodarenja prostorom i zgradama:</w:t>
      </w:r>
    </w:p>
    <w:p w14:paraId="45D05D69" w14:textId="77777777" w:rsidR="00496804" w:rsidRDefault="00496804">
      <w:pPr>
        <w:spacing w:line="240" w:lineRule="auto"/>
        <w:rPr>
          <w:rFonts w:ascii="Times New Roman" w:hAnsi="Times New Roman"/>
          <w:sz w:val="24"/>
          <w:lang w:eastAsia="hr-HR"/>
        </w:rPr>
      </w:pPr>
    </w:p>
    <w:p w14:paraId="45D05D6A"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1.</w:t>
      </w:r>
      <w:r>
        <w:rPr>
          <w:rFonts w:ascii="Times New Roman" w:hAnsi="Times New Roman"/>
          <w:sz w:val="24"/>
          <w:lang w:eastAsia="hr-HR"/>
        </w:rPr>
        <w:tab/>
        <w:t>Razvoj sustava kružnog gospodarenja prostorom i zgradama</w:t>
      </w:r>
    </w:p>
    <w:p w14:paraId="45D05D6B"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2.</w:t>
      </w:r>
      <w:r>
        <w:rPr>
          <w:rFonts w:ascii="Times New Roman" w:hAnsi="Times New Roman"/>
          <w:sz w:val="24"/>
          <w:lang w:eastAsia="hr-HR"/>
        </w:rPr>
        <w:tab/>
        <w:t>Kružna obnova nekorištenih prostora i zgrada</w:t>
      </w:r>
    </w:p>
    <w:p w14:paraId="45D05D6C"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3.</w:t>
      </w:r>
      <w:r>
        <w:rPr>
          <w:rFonts w:ascii="Times New Roman" w:hAnsi="Times New Roman"/>
          <w:sz w:val="24"/>
          <w:lang w:eastAsia="hr-HR"/>
        </w:rPr>
        <w:tab/>
        <w:t>Visoka razina znanja i društvene svijesti o kružnom gospodarenju prostorom i zgradama</w:t>
      </w:r>
    </w:p>
    <w:p w14:paraId="45D05D6D" w14:textId="77777777" w:rsidR="00496804" w:rsidRDefault="00496804">
      <w:pPr>
        <w:spacing w:line="240" w:lineRule="auto"/>
        <w:rPr>
          <w:rFonts w:ascii="Times New Roman" w:hAnsi="Times New Roman"/>
          <w:sz w:val="24"/>
          <w:lang w:eastAsia="hr-HR"/>
        </w:rPr>
      </w:pPr>
    </w:p>
    <w:p w14:paraId="45D05D6E" w14:textId="77777777" w:rsidR="00496804" w:rsidRDefault="0037359D">
      <w:pPr>
        <w:spacing w:line="240" w:lineRule="auto"/>
        <w:rPr>
          <w:rFonts w:ascii="Times New Roman" w:hAnsi="Times New Roman"/>
          <w:sz w:val="24"/>
        </w:rPr>
      </w:pPr>
      <w:r>
        <w:rPr>
          <w:rFonts w:ascii="Times New Roman" w:hAnsi="Times New Roman"/>
          <w:sz w:val="24"/>
        </w:rPr>
        <w:t>Sva tri navedena cilja međusobno su komplementarna te djeluju sinergijski prema ostvarenju utvrđene vizije. S obzirom na karakter ciljeva i njihovu međupovezanost, realizacijom istih doprinijet će se poticanju kružnog procesa koji će rezultirati kontinuiranim porastom interesa za provedbu projekata kružnog gospodarenja prostorom i zgradama.</w:t>
      </w:r>
    </w:p>
    <w:p w14:paraId="45D05D6F" w14:textId="77777777" w:rsidR="00496804" w:rsidRDefault="00496804">
      <w:pPr>
        <w:spacing w:line="240" w:lineRule="auto"/>
        <w:rPr>
          <w:rFonts w:ascii="Times New Roman" w:hAnsi="Times New Roman"/>
          <w:sz w:val="24"/>
          <w:lang w:eastAsia="hr-HR"/>
        </w:rPr>
      </w:pPr>
    </w:p>
    <w:p w14:paraId="45D05D70" w14:textId="77777777" w:rsidR="00496804" w:rsidRDefault="00496804">
      <w:pPr>
        <w:spacing w:line="240" w:lineRule="auto"/>
        <w:rPr>
          <w:rFonts w:ascii="Times New Roman" w:hAnsi="Times New Roman"/>
          <w:sz w:val="24"/>
          <w:lang w:eastAsia="hr-HR"/>
        </w:rPr>
      </w:pPr>
    </w:p>
    <w:p w14:paraId="45D05D71" w14:textId="77777777" w:rsidR="00496804" w:rsidRDefault="0037359D">
      <w:pPr>
        <w:shd w:val="clear" w:color="auto" w:fill="FFCCA6" w:themeFill="accent5" w:themeFillTint="66"/>
        <w:spacing w:line="240" w:lineRule="auto"/>
        <w:ind w:left="1985" w:hanging="1985"/>
      </w:pPr>
      <w:bookmarkStart w:id="159" w:name="_Toc35005235"/>
      <w:r>
        <w:rPr>
          <w:rFonts w:ascii="Times New Roman" w:hAnsi="Times New Roman"/>
          <w:b/>
          <w:bCs/>
          <w:sz w:val="24"/>
          <w:lang w:eastAsia="hr-HR"/>
        </w:rPr>
        <w:t>POSEBNI CILJ 1</w:t>
      </w:r>
      <w:bookmarkEnd w:id="159"/>
      <w:r>
        <w:rPr>
          <w:rFonts w:ascii="Times New Roman" w:hAnsi="Times New Roman"/>
          <w:b/>
          <w:bCs/>
          <w:sz w:val="24"/>
          <w:lang w:eastAsia="hr-HR"/>
        </w:rPr>
        <w:t>.</w:t>
      </w:r>
      <w:r>
        <w:rPr>
          <w:rFonts w:ascii="Times New Roman" w:hAnsi="Times New Roman"/>
          <w:b/>
          <w:bCs/>
          <w:sz w:val="24"/>
          <w:lang w:eastAsia="hr-HR"/>
        </w:rPr>
        <w:tab/>
        <w:t>RAZVOJ SUSTAVA KRUŽNOG GOSPODARENJA PROSTOROM I ZGRADAMA</w:t>
      </w:r>
    </w:p>
    <w:p w14:paraId="45D05D72" w14:textId="77777777" w:rsidR="00496804" w:rsidRDefault="00496804">
      <w:pPr>
        <w:pStyle w:val="tekst"/>
        <w:spacing w:line="240" w:lineRule="auto"/>
        <w:rPr>
          <w:rFonts w:ascii="Times New Roman" w:eastAsiaTheme="minorHAnsi" w:hAnsi="Times New Roman" w:cs="Times New Roman"/>
          <w:bCs/>
          <w:sz w:val="24"/>
          <w:szCs w:val="24"/>
        </w:rPr>
      </w:pPr>
    </w:p>
    <w:p w14:paraId="45D05D73" w14:textId="0D9E1BF4" w:rsidR="00496804" w:rsidRDefault="0037359D">
      <w:pPr>
        <w:pStyle w:val="tekst"/>
        <w:spacing w:line="240" w:lineRule="auto"/>
        <w:rPr>
          <w:rFonts w:ascii="Times New Roman" w:hAnsi="Times New Roman" w:cs="Times New Roman"/>
          <w:sz w:val="24"/>
          <w:szCs w:val="24"/>
        </w:rPr>
      </w:pPr>
      <w:r>
        <w:rPr>
          <w:rFonts w:ascii="Times New Roman" w:eastAsiaTheme="minorHAnsi" w:hAnsi="Times New Roman" w:cs="Times New Roman"/>
          <w:bCs/>
          <w:sz w:val="24"/>
          <w:szCs w:val="24"/>
        </w:rPr>
        <w:t xml:space="preserve">Osnovni preduvjet uspješne provedbe </w:t>
      </w:r>
      <w:r>
        <w:rPr>
          <w:rFonts w:ascii="Times New Roman" w:hAnsi="Times New Roman" w:cs="Times New Roman"/>
          <w:sz w:val="24"/>
          <w:szCs w:val="24"/>
        </w:rPr>
        <w:t>kružnog gospodarenja prostorom i zgradama</w:t>
      </w:r>
      <w:r>
        <w:rPr>
          <w:rFonts w:ascii="Times New Roman" w:eastAsiaTheme="minorHAnsi" w:hAnsi="Times New Roman" w:cs="Times New Roman"/>
          <w:bCs/>
          <w:sz w:val="24"/>
          <w:szCs w:val="24"/>
        </w:rPr>
        <w:t xml:space="preserve"> čini razvoj i uspostavljanje učinkovitog sustava provedbe budućih projekata, ali i općenito poticanja značaja istog u širokoj mjeri. Navedeno obuhvaća ne samo razvoj organizacijske strukture, već i širok spektar aktivnosti koje će obuhvatiti razvoj sustava prikupljanja podataka i kontinuiranog praćenja stanja u prostoru, kao i razvoj smjernica i metodologija za primjenu kružnog gospodarenja prostorom i zgradama. Kako </w:t>
      </w:r>
      <w:r>
        <w:rPr>
          <w:rFonts w:ascii="Times New Roman" w:hAnsi="Times New Roman" w:cs="Times New Roman"/>
          <w:sz w:val="24"/>
          <w:szCs w:val="24"/>
        </w:rPr>
        <w:t xml:space="preserve">većina </w:t>
      </w:r>
      <w:r w:rsidR="009D431B">
        <w:rPr>
          <w:rFonts w:ascii="Times New Roman" w:hAnsi="Times New Roman" w:cs="Times New Roman"/>
          <w:sz w:val="24"/>
          <w:szCs w:val="24"/>
        </w:rPr>
        <w:t>JLS</w:t>
      </w:r>
      <w:r>
        <w:rPr>
          <w:rFonts w:ascii="Times New Roman" w:hAnsi="Times New Roman" w:cs="Times New Roman"/>
          <w:sz w:val="24"/>
          <w:szCs w:val="24"/>
        </w:rPr>
        <w:t xml:space="preserve"> nema izrađene razvojne i planske dokumente usmjerene isključivo razvoju kružnog gospodarenja prostorom i zgradama, bit će potrebno potaknuti njihovo donošenje. </w:t>
      </w:r>
    </w:p>
    <w:p w14:paraId="45D05D74" w14:textId="77777777" w:rsidR="00496804" w:rsidRDefault="00496804">
      <w:pPr>
        <w:pStyle w:val="tekst"/>
        <w:spacing w:line="240" w:lineRule="auto"/>
        <w:rPr>
          <w:rFonts w:ascii="Times New Roman" w:eastAsiaTheme="minorHAnsi" w:hAnsi="Times New Roman" w:cs="Times New Roman"/>
          <w:bCs/>
          <w:sz w:val="24"/>
          <w:szCs w:val="24"/>
        </w:rPr>
      </w:pPr>
    </w:p>
    <w:p w14:paraId="45D05D75" w14:textId="77777777" w:rsidR="00496804" w:rsidRDefault="0037359D">
      <w:pPr>
        <w:spacing w:line="240" w:lineRule="auto"/>
        <w:rPr>
          <w:rFonts w:ascii="Times New Roman" w:hAnsi="Times New Roman"/>
          <w:sz w:val="24"/>
        </w:rPr>
      </w:pPr>
      <w:r>
        <w:rPr>
          <w:rFonts w:ascii="Times New Roman" w:hAnsi="Times New Roman"/>
          <w:sz w:val="24"/>
        </w:rPr>
        <w:t>Upravljanje kružnim gospodarenjem treba se voditi načelima međusektorske suradnje, izgradnji platforme dionika te aktivne razmjene znanja i iskustva. Nadalje, nužno je i kontinuirano unaprjeđivati znanja svih dionika uključenih u aktivnosti na svim razinama.</w:t>
      </w:r>
    </w:p>
    <w:p w14:paraId="45D05D76" w14:textId="77777777" w:rsidR="00496804" w:rsidRDefault="00496804">
      <w:pPr>
        <w:pStyle w:val="tekst"/>
        <w:spacing w:line="240" w:lineRule="auto"/>
        <w:rPr>
          <w:rFonts w:ascii="Times New Roman" w:hAnsi="Times New Roman" w:cs="Times New Roman"/>
          <w:sz w:val="24"/>
          <w:szCs w:val="24"/>
        </w:rPr>
      </w:pPr>
    </w:p>
    <w:p w14:paraId="45D05D77"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5D05D79" w14:textId="77777777" w:rsidR="00496804" w:rsidRDefault="0037359D">
      <w:pPr>
        <w:shd w:val="clear" w:color="auto" w:fill="FFCCA6" w:themeFill="accent5" w:themeFillTint="66"/>
        <w:spacing w:line="240" w:lineRule="auto"/>
        <w:ind w:left="1985" w:hanging="1985"/>
        <w:rPr>
          <w:rFonts w:ascii="Times New Roman" w:hAnsi="Times New Roman"/>
          <w:b/>
          <w:bCs/>
          <w:sz w:val="24"/>
          <w:lang w:eastAsia="hr-HR"/>
        </w:rPr>
      </w:pPr>
      <w:bookmarkStart w:id="160" w:name="_Toc35005236"/>
      <w:r>
        <w:rPr>
          <w:rFonts w:ascii="Times New Roman" w:hAnsi="Times New Roman"/>
          <w:b/>
          <w:bCs/>
          <w:sz w:val="24"/>
          <w:lang w:eastAsia="hr-HR"/>
        </w:rPr>
        <w:lastRenderedPageBreak/>
        <w:t>POSEBNI CILJ 2.</w:t>
      </w:r>
      <w:bookmarkEnd w:id="160"/>
      <w:r>
        <w:rPr>
          <w:rFonts w:ascii="Times New Roman" w:hAnsi="Times New Roman"/>
          <w:b/>
          <w:bCs/>
          <w:sz w:val="24"/>
          <w:lang w:eastAsia="hr-HR"/>
        </w:rPr>
        <w:tab/>
        <w:t>KRUŽNA OBNOVA NEKORIŠTENIH PROSTORA I ZGRADA</w:t>
      </w:r>
    </w:p>
    <w:p w14:paraId="45D05D7A" w14:textId="77777777" w:rsidR="00496804" w:rsidRDefault="00496804">
      <w:pPr>
        <w:pStyle w:val="tekst"/>
        <w:spacing w:line="240" w:lineRule="auto"/>
        <w:rPr>
          <w:rFonts w:ascii="Times New Roman" w:hAnsi="Times New Roman" w:cs="Times New Roman"/>
          <w:sz w:val="24"/>
          <w:szCs w:val="24"/>
        </w:rPr>
      </w:pPr>
    </w:p>
    <w:p w14:paraId="45D05D7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Značajan broj nekorištenih prostora i zgrada u vlasništvu je RH ili JLP(R)S. To su prostori i zgrade koje gube svoju osnovnu namjenu, u ruralnim područjima kao posljedica raseljavanja dok u urbanim područjima iz gospodarskih razloga. Mjere kružne obnove prikladne su upravo za zgrade pogodne za ponovnu upotrebu. Podjelu prostora i zgrada prema tipologijama i mjerilima čine:</w:t>
      </w:r>
    </w:p>
    <w:p w14:paraId="45D05D7C" w14:textId="77777777" w:rsidR="00496804" w:rsidRDefault="00496804">
      <w:pPr>
        <w:pStyle w:val="tekst"/>
        <w:spacing w:line="240" w:lineRule="auto"/>
        <w:rPr>
          <w:rFonts w:ascii="Times New Roman" w:hAnsi="Times New Roman" w:cs="Times New Roman"/>
          <w:sz w:val="24"/>
          <w:szCs w:val="24"/>
        </w:rPr>
      </w:pPr>
    </w:p>
    <w:p w14:paraId="45D05D7D" w14:textId="77777777" w:rsidR="00496804" w:rsidRDefault="0037359D">
      <w:pPr>
        <w:pStyle w:val="tekst"/>
        <w:numPr>
          <w:ilvl w:val="0"/>
          <w:numId w:val="23"/>
        </w:numPr>
        <w:spacing w:line="240" w:lineRule="auto"/>
        <w:ind w:left="426" w:hanging="284"/>
        <w:rPr>
          <w:rFonts w:ascii="Times New Roman" w:hAnsi="Times New Roman" w:cs="Times New Roman"/>
          <w:sz w:val="24"/>
          <w:szCs w:val="24"/>
        </w:rPr>
      </w:pPr>
      <w:r>
        <w:rPr>
          <w:rFonts w:ascii="Times New Roman" w:hAnsi="Times New Roman" w:cs="Times New Roman"/>
          <w:i/>
          <w:iCs/>
          <w:sz w:val="24"/>
          <w:szCs w:val="24"/>
        </w:rPr>
        <w:t>nekorištene zgrade</w:t>
      </w:r>
      <w:r>
        <w:rPr>
          <w:rFonts w:ascii="Times New Roman" w:hAnsi="Times New Roman" w:cs="Times New Roman"/>
          <w:sz w:val="24"/>
          <w:szCs w:val="24"/>
        </w:rPr>
        <w:t xml:space="preserve"> – napuštene pojedinačne zgrade</w:t>
      </w:r>
    </w:p>
    <w:p w14:paraId="45D05D7E" w14:textId="77777777" w:rsidR="00496804" w:rsidRDefault="0037359D">
      <w:pPr>
        <w:pStyle w:val="tekst"/>
        <w:numPr>
          <w:ilvl w:val="0"/>
          <w:numId w:val="23"/>
        </w:numPr>
        <w:spacing w:line="240" w:lineRule="auto"/>
        <w:ind w:left="426" w:hanging="284"/>
        <w:rPr>
          <w:rFonts w:ascii="Times New Roman" w:hAnsi="Times New Roman" w:cs="Times New Roman"/>
          <w:sz w:val="24"/>
          <w:szCs w:val="24"/>
        </w:rPr>
      </w:pPr>
      <w:r>
        <w:rPr>
          <w:rFonts w:ascii="Times New Roman" w:hAnsi="Times New Roman" w:cs="Times New Roman"/>
          <w:i/>
          <w:iCs/>
          <w:sz w:val="24"/>
          <w:szCs w:val="24"/>
        </w:rPr>
        <w:t>nekorištene zone</w:t>
      </w:r>
      <w:r>
        <w:rPr>
          <w:rFonts w:ascii="Times New Roman" w:hAnsi="Times New Roman" w:cs="Times New Roman"/>
          <w:sz w:val="24"/>
          <w:szCs w:val="24"/>
        </w:rPr>
        <w:t xml:space="preserve"> – zone napuštenih prostora i zgrada (monofunkcionalne ili polifunkcionalne)</w:t>
      </w:r>
    </w:p>
    <w:p w14:paraId="45D05D7F" w14:textId="77777777" w:rsidR="00496804" w:rsidRDefault="00496804">
      <w:pPr>
        <w:pStyle w:val="tekst"/>
        <w:spacing w:line="240" w:lineRule="auto"/>
        <w:rPr>
          <w:rFonts w:ascii="Times New Roman" w:hAnsi="Times New Roman"/>
          <w:sz w:val="24"/>
        </w:rPr>
      </w:pPr>
    </w:p>
    <w:p w14:paraId="45D05D8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sz w:val="24"/>
        </w:rPr>
        <w:t xml:space="preserve">Kružno gospodarenje prostorom i zgradama uključuje niz aktivnosti kao što su pokretanje ulaganja u zelene tehnologije, održiva rješenja i inovacije na svim poljima graditeljstva, od polja planiranja, projektiranja i korištenja prostora i zgrada pa sve do mjerila građevnih materijala i proizvoda. </w:t>
      </w:r>
      <w:r>
        <w:rPr>
          <w:rFonts w:ascii="Times New Roman" w:hAnsi="Times New Roman" w:cs="Times New Roman"/>
          <w:sz w:val="24"/>
          <w:szCs w:val="24"/>
        </w:rPr>
        <w:t xml:space="preserve">Kružna obnova nekorištenih prostora i zgrada trebala bi potaknuti učinkovito korištenje prostornih resursa, odnosno doprinosa održivom korištenju zemljišta kroz smanjenje potrebe za širenjem građevinskih područja na trenutačno neizgrađena područja. Nadalje, cilj će pridonijeti smanjenju nastanka </w:t>
      </w:r>
      <w:r>
        <w:rPr>
          <w:rFonts w:ascii="Times New Roman" w:hAnsi="Times New Roman"/>
          <w:sz w:val="24"/>
        </w:rPr>
        <w:t>građevnog</w:t>
      </w:r>
      <w:r>
        <w:rPr>
          <w:rFonts w:ascii="Times New Roman" w:hAnsi="Times New Roman" w:cs="Times New Roman"/>
          <w:sz w:val="24"/>
          <w:szCs w:val="24"/>
        </w:rPr>
        <w:t xml:space="preserve"> otpada, poboljšanju energetskih svojstava zgrada, odnosno ukupnom očuvanju resursa korištenih u prostoru i zgradama te revitalizaciji prostora u kojem su zgrade izgrađene. </w:t>
      </w:r>
    </w:p>
    <w:p w14:paraId="45D05D81" w14:textId="77777777" w:rsidR="00496804" w:rsidRDefault="00496804">
      <w:pPr>
        <w:pStyle w:val="tekst"/>
        <w:spacing w:line="240" w:lineRule="auto"/>
        <w:rPr>
          <w:rFonts w:ascii="Times New Roman" w:hAnsi="Times New Roman" w:cs="Times New Roman"/>
          <w:sz w:val="24"/>
          <w:szCs w:val="24"/>
        </w:rPr>
      </w:pPr>
    </w:p>
    <w:p w14:paraId="45D05D8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Razvoj </w:t>
      </w:r>
      <w:r>
        <w:rPr>
          <w:rFonts w:ascii="Times New Roman" w:hAnsi="Times New Roman"/>
          <w:sz w:val="24"/>
        </w:rPr>
        <w:t>kružnog gospodarenja prostorom i zgradama moguć je uz kontinuirano promicanje inovacija i primjene sustava certificiranja. Inovacije će podrazumijevati razvoj novih načina planiranja prostora i modela primjene kružnog gospodarenja prostorom i zgradama u odnosu na nove materijale i proizvode, načine projektiranja, gradnje, održavanja i obnove zgrada, kao i razvoj novih metoda, analitičkih alata, algoritamskih sustava, baza podataka i modela za cjelovitu procjenu učinaka. U tom smislu nužno je pružati podršku znanstvenoistraživačkim projektima koji će obraditi navedene teme.</w:t>
      </w:r>
    </w:p>
    <w:p w14:paraId="45D05D83" w14:textId="77777777" w:rsidR="00496804" w:rsidRDefault="00496804">
      <w:pPr>
        <w:pStyle w:val="tekst"/>
        <w:spacing w:line="240" w:lineRule="auto"/>
        <w:rPr>
          <w:rFonts w:ascii="Times New Roman" w:hAnsi="Times New Roman" w:cs="Times New Roman"/>
          <w:sz w:val="24"/>
          <w:szCs w:val="24"/>
        </w:rPr>
      </w:pPr>
    </w:p>
    <w:p w14:paraId="45D05D84" w14:textId="77777777" w:rsidR="00496804" w:rsidRDefault="0037359D">
      <w:pPr>
        <w:shd w:val="clear" w:color="auto" w:fill="FFCCA6" w:themeFill="accent5" w:themeFillTint="66"/>
        <w:spacing w:line="240" w:lineRule="auto"/>
        <w:ind w:left="1985" w:hanging="1985"/>
        <w:rPr>
          <w:rFonts w:ascii="Times New Roman" w:hAnsi="Times New Roman"/>
          <w:b/>
          <w:bCs/>
          <w:sz w:val="24"/>
          <w:lang w:eastAsia="hr-HR"/>
        </w:rPr>
      </w:pPr>
      <w:bookmarkStart w:id="161" w:name="_Toc35005237"/>
      <w:r>
        <w:rPr>
          <w:rFonts w:ascii="Times New Roman" w:hAnsi="Times New Roman"/>
          <w:b/>
          <w:bCs/>
          <w:sz w:val="24"/>
          <w:lang w:eastAsia="hr-HR"/>
        </w:rPr>
        <w:t>POSEBNI CILJ 3.</w:t>
      </w:r>
      <w:bookmarkEnd w:id="161"/>
      <w:r>
        <w:rPr>
          <w:rFonts w:ascii="Times New Roman" w:hAnsi="Times New Roman"/>
          <w:b/>
          <w:bCs/>
          <w:sz w:val="24"/>
          <w:lang w:eastAsia="hr-HR"/>
        </w:rPr>
        <w:tab/>
        <w:t>VISOKA RAZINA ZNANJA I DRUŠTVENE SVIJESTI O KRUŽNOM GOSPODARENJU PROSTOROM I ZGRADAMA</w:t>
      </w:r>
    </w:p>
    <w:p w14:paraId="45D05D85" w14:textId="77777777" w:rsidR="00496804" w:rsidRDefault="00496804">
      <w:pPr>
        <w:spacing w:line="240" w:lineRule="auto"/>
        <w:rPr>
          <w:rFonts w:ascii="Times New Roman" w:hAnsi="Times New Roman"/>
          <w:sz w:val="24"/>
        </w:rPr>
      </w:pPr>
    </w:p>
    <w:p w14:paraId="45D05D86" w14:textId="240ACB20" w:rsidR="00496804" w:rsidRDefault="0037359D">
      <w:pPr>
        <w:spacing w:line="240" w:lineRule="auto"/>
        <w:rPr>
          <w:rFonts w:ascii="Times New Roman" w:hAnsi="Times New Roman"/>
          <w:bCs/>
          <w:sz w:val="24"/>
        </w:rPr>
      </w:pPr>
      <w:r>
        <w:rPr>
          <w:rFonts w:ascii="Times New Roman" w:hAnsi="Times New Roman"/>
          <w:sz w:val="24"/>
        </w:rPr>
        <w:t xml:space="preserve">Podizanje razine informiranosti o važnosti održivog razvoja i uloge kružnog gospodarenja prostorom i zgradama na svim društvenim razinama ključan je preduvjet izgradnje učinkovitog sustava. Rezultati analize stanja pokazuju kako postoji potreba za upoznavanjem lokalne i </w:t>
      </w:r>
      <w:r w:rsidR="00455739">
        <w:rPr>
          <w:rFonts w:ascii="Times New Roman" w:hAnsi="Times New Roman"/>
          <w:sz w:val="24"/>
        </w:rPr>
        <w:t>područne (</w:t>
      </w:r>
      <w:r>
        <w:rPr>
          <w:rFonts w:ascii="Times New Roman" w:hAnsi="Times New Roman"/>
          <w:sz w:val="24"/>
        </w:rPr>
        <w:t>regionalne</w:t>
      </w:r>
      <w:r w:rsidR="00455739">
        <w:rPr>
          <w:rFonts w:ascii="Times New Roman" w:hAnsi="Times New Roman"/>
          <w:sz w:val="24"/>
        </w:rPr>
        <w:t>)</w:t>
      </w:r>
      <w:r>
        <w:rPr>
          <w:rFonts w:ascii="Times New Roman" w:hAnsi="Times New Roman"/>
          <w:sz w:val="24"/>
        </w:rPr>
        <w:t xml:space="preserve"> samouprave i cjelokupne javnosti </w:t>
      </w:r>
      <w:r>
        <w:rPr>
          <w:rFonts w:ascii="Times New Roman" w:hAnsi="Times New Roman"/>
          <w:bCs/>
          <w:sz w:val="24"/>
        </w:rPr>
        <w:t>s temom kružnog gospodarenja prostorom i zgradama te su pozitivno ocijenjene mogućnosti njegove primjene.</w:t>
      </w:r>
    </w:p>
    <w:p w14:paraId="45D05D87" w14:textId="77777777" w:rsidR="00496804" w:rsidRDefault="00496804">
      <w:pPr>
        <w:spacing w:line="240" w:lineRule="auto"/>
        <w:rPr>
          <w:rFonts w:ascii="Times New Roman" w:hAnsi="Times New Roman"/>
          <w:sz w:val="24"/>
        </w:rPr>
      </w:pPr>
    </w:p>
    <w:p w14:paraId="45D05D88" w14:textId="77777777" w:rsidR="00496804" w:rsidRDefault="0037359D">
      <w:pPr>
        <w:spacing w:line="240" w:lineRule="auto"/>
        <w:rPr>
          <w:rFonts w:ascii="Times New Roman" w:hAnsi="Times New Roman"/>
          <w:sz w:val="24"/>
        </w:rPr>
      </w:pPr>
      <w:r>
        <w:rPr>
          <w:rFonts w:ascii="Times New Roman" w:hAnsi="Times New Roman"/>
          <w:sz w:val="24"/>
        </w:rPr>
        <w:t>Stoga je s ciljem podizanja svijesti o pozitivnom i kvalitetnom utjecaju kružnog gospodarenja prostorom i zgradama potrebno educirati sve relevantne dionike – stručnjake, donositelje odluka, investitore, ali i cjelokupnu javnost. Edukacijom i podizanjem svijesti o važnosti kružnog gospodarenja prostorom i zgradama, kao i odgovornom postupanju s okolišem, povećava se mogućnost održivog razvoja, posebice s aspekta održivog planiranja korištenja prostora. Jačanje osviještenosti kod stanovništva ujedno pozitivno djeluje na stvaranje „odozdo prema gore“ (bottom-up) inicijativa koje također mogu pospješiti razvoj sustava kružnog gospodarenja prostorom i zgradama.</w:t>
      </w:r>
    </w:p>
    <w:p w14:paraId="45D05D89"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D8A"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62" w:name="_Toc51851652"/>
      <w:bookmarkStart w:id="163" w:name="_Toc35005238"/>
      <w:bookmarkStart w:id="164" w:name="_Toc30851613"/>
      <w:r>
        <w:rPr>
          <w:rFonts w:ascii="Times New Roman" w:hAnsi="Times New Roman" w:cs="Times New Roman"/>
          <w:sz w:val="24"/>
          <w:szCs w:val="24"/>
        </w:rPr>
        <w:lastRenderedPageBreak/>
        <w:t>POKAZATELJI ISHODA POSEBNIH CILJEVA</w:t>
      </w:r>
      <w:bookmarkEnd w:id="162"/>
    </w:p>
    <w:p w14:paraId="45D05D8B" w14:textId="77777777" w:rsidR="00496804" w:rsidRDefault="00496804">
      <w:pPr>
        <w:pStyle w:val="Bezproreda"/>
        <w:jc w:val="both"/>
      </w:pPr>
    </w:p>
    <w:p w14:paraId="45D05D8C" w14:textId="77777777" w:rsidR="00496804" w:rsidRDefault="0037359D">
      <w:pPr>
        <w:pStyle w:val="Naslov2"/>
        <w:ind w:left="426" w:hanging="426"/>
        <w:rPr>
          <w:rFonts w:ascii="Times New Roman" w:hAnsi="Times New Roman" w:cs="Times New Roman"/>
          <w:color w:val="auto"/>
          <w:sz w:val="24"/>
          <w:szCs w:val="24"/>
        </w:rPr>
      </w:pPr>
      <w:bookmarkStart w:id="165" w:name="_Toc51851653"/>
      <w:r>
        <w:rPr>
          <w:rFonts w:ascii="Times New Roman" w:hAnsi="Times New Roman" w:cs="Times New Roman"/>
          <w:color w:val="auto"/>
          <w:sz w:val="24"/>
          <w:szCs w:val="24"/>
        </w:rPr>
        <w:t>ANALIZA DOSTUPNIH POKAZATELJA</w:t>
      </w:r>
      <w:bookmarkEnd w:id="163"/>
      <w:bookmarkEnd w:id="165"/>
    </w:p>
    <w:p w14:paraId="45D05D8D" w14:textId="77777777" w:rsidR="00496804" w:rsidRDefault="00496804">
      <w:pPr>
        <w:spacing w:line="240" w:lineRule="auto"/>
        <w:rPr>
          <w:rFonts w:ascii="Times New Roman" w:hAnsi="Times New Roman"/>
          <w:sz w:val="24"/>
        </w:rPr>
      </w:pPr>
    </w:p>
    <w:p w14:paraId="45D05D8E" w14:textId="05A31BD0" w:rsidR="00496804" w:rsidRDefault="0037359D">
      <w:pPr>
        <w:pStyle w:val="tekst"/>
        <w:spacing w:line="240" w:lineRule="auto"/>
        <w:rPr>
          <w:rFonts w:ascii="Times New Roman" w:hAnsi="Times New Roman" w:cs="Times New Roman"/>
          <w:sz w:val="24"/>
          <w:szCs w:val="24"/>
        </w:rPr>
      </w:pPr>
      <w:r>
        <w:rPr>
          <w:rFonts w:ascii="Times New Roman" w:hAnsi="Times New Roman"/>
          <w:sz w:val="24"/>
        </w:rPr>
        <w:t>Komunikacija Komisije Europskom parlamentu, Vijeću, Europskom gospodarskom i socijalnom odboru i Odboru regija: Okvir za praćenje kružnog gospodarstva (COM(2018) 29 final) od 16.1.2018. godine</w:t>
      </w:r>
      <w:r>
        <w:rPr>
          <w:rStyle w:val="Referencafusnote"/>
          <w:rFonts w:ascii="Times New Roman" w:hAnsi="Times New Roman" w:cs="Times New Roman"/>
          <w:sz w:val="24"/>
          <w:szCs w:val="24"/>
        </w:rPr>
        <w:footnoteReference w:id="74"/>
      </w:r>
      <w:r>
        <w:rPr>
          <w:rFonts w:ascii="Times New Roman" w:hAnsi="Times New Roman" w:cs="Times New Roman"/>
          <w:bCs/>
          <w:sz w:val="24"/>
          <w:szCs w:val="24"/>
        </w:rPr>
        <w:t>,</w:t>
      </w:r>
      <w:r>
        <w:rPr>
          <w:rFonts w:ascii="Times New Roman" w:hAnsi="Times New Roman" w:cs="Times New Roman"/>
          <w:sz w:val="24"/>
          <w:szCs w:val="24"/>
        </w:rPr>
        <w:t xml:space="preserve"> koji je EK predstavila 2018. godine, predlaže </w:t>
      </w:r>
      <w:r w:rsidR="00455739">
        <w:rPr>
          <w:rFonts w:ascii="Times New Roman" w:hAnsi="Times New Roman" w:cs="Times New Roman"/>
          <w:sz w:val="24"/>
          <w:szCs w:val="24"/>
        </w:rPr>
        <w:t>deset</w:t>
      </w:r>
      <w:r>
        <w:rPr>
          <w:rFonts w:ascii="Times New Roman" w:hAnsi="Times New Roman" w:cs="Times New Roman"/>
          <w:sz w:val="24"/>
          <w:szCs w:val="24"/>
        </w:rPr>
        <w:t xml:space="preserve"> ključnih pokazatelja (EUROSTAT) za svaku fazu životnog vijeka proizvoda i aspekte konkurentnosti. Oni su podijeljeni u četiri kategorije koje obuhvaćaju sve faze životnog vijeka:</w:t>
      </w:r>
    </w:p>
    <w:p w14:paraId="45D05D8F" w14:textId="77777777" w:rsidR="00496804" w:rsidRDefault="00496804">
      <w:pPr>
        <w:pStyle w:val="Bezproreda"/>
        <w:jc w:val="both"/>
        <w:rPr>
          <w:lang w:val="hr-HR"/>
        </w:rPr>
      </w:pPr>
    </w:p>
    <w:p w14:paraId="45D05D90" w14:textId="77777777" w:rsidR="00496804" w:rsidRDefault="00496804">
      <w:pPr>
        <w:pStyle w:val="Bezproreda"/>
        <w:jc w:val="both"/>
        <w:rPr>
          <w:lang w:val="hr-HR"/>
        </w:rPr>
      </w:pPr>
    </w:p>
    <w:p w14:paraId="45D05D91"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13. Ključni pokazatelji praćenja kružnog gospodarstva </w:t>
      </w:r>
    </w:p>
    <w:tbl>
      <w:tblPr>
        <w:tblStyle w:val="Reetkatablic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15"/>
        <w:gridCol w:w="747"/>
        <w:gridCol w:w="6170"/>
      </w:tblGrid>
      <w:tr w:rsidR="00496804" w14:paraId="45D05D95" w14:textId="77777777">
        <w:tc>
          <w:tcPr>
            <w:tcW w:w="1409" w:type="pct"/>
            <w:vMerge w:val="restart"/>
            <w:tcBorders>
              <w:right w:val="single" w:sz="4" w:space="0" w:color="auto"/>
            </w:tcBorders>
            <w:shd w:val="clear" w:color="auto" w:fill="FFCCA6" w:themeFill="accent5" w:themeFillTint="66"/>
            <w:vAlign w:val="center"/>
          </w:tcPr>
          <w:p w14:paraId="45D05D92"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Proizvodnja i potrošnja</w:t>
            </w:r>
          </w:p>
        </w:tc>
        <w:tc>
          <w:tcPr>
            <w:tcW w:w="388" w:type="pct"/>
            <w:tcBorders>
              <w:left w:val="single" w:sz="4" w:space="0" w:color="auto"/>
            </w:tcBorders>
            <w:vAlign w:val="center"/>
          </w:tcPr>
          <w:p w14:paraId="45D05D93" w14:textId="77777777" w:rsidR="00496804" w:rsidRDefault="0037359D">
            <w:pPr>
              <w:spacing w:line="240" w:lineRule="auto"/>
              <w:jc w:val="right"/>
              <w:rPr>
                <w:rFonts w:ascii="Times New Roman" w:hAnsi="Times New Roman"/>
                <w:sz w:val="24"/>
              </w:rPr>
            </w:pPr>
            <w:r>
              <w:rPr>
                <w:rFonts w:ascii="Times New Roman" w:hAnsi="Times New Roman"/>
                <w:sz w:val="24"/>
              </w:rPr>
              <w:t>1.</w:t>
            </w:r>
          </w:p>
        </w:tc>
        <w:tc>
          <w:tcPr>
            <w:tcW w:w="3203" w:type="pct"/>
            <w:vAlign w:val="center"/>
          </w:tcPr>
          <w:p w14:paraId="45D05D9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Samodostatnost EU-a kad je riječ o sirovinama </w:t>
            </w:r>
          </w:p>
        </w:tc>
      </w:tr>
      <w:tr w:rsidR="00496804" w14:paraId="45D05D99" w14:textId="77777777">
        <w:tc>
          <w:tcPr>
            <w:tcW w:w="1409" w:type="pct"/>
            <w:vMerge/>
            <w:tcBorders>
              <w:right w:val="single" w:sz="4" w:space="0" w:color="auto"/>
            </w:tcBorders>
            <w:shd w:val="clear" w:color="auto" w:fill="FFCCA6" w:themeFill="accent5" w:themeFillTint="66"/>
            <w:vAlign w:val="center"/>
          </w:tcPr>
          <w:p w14:paraId="45D05D9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7" w14:textId="77777777" w:rsidR="00496804" w:rsidRDefault="0037359D">
            <w:pPr>
              <w:spacing w:line="240" w:lineRule="auto"/>
              <w:jc w:val="right"/>
              <w:rPr>
                <w:rFonts w:ascii="Times New Roman" w:hAnsi="Times New Roman"/>
                <w:sz w:val="24"/>
              </w:rPr>
            </w:pPr>
            <w:r>
              <w:rPr>
                <w:rFonts w:ascii="Times New Roman" w:hAnsi="Times New Roman"/>
                <w:sz w:val="24"/>
              </w:rPr>
              <w:t>2.</w:t>
            </w:r>
          </w:p>
        </w:tc>
        <w:tc>
          <w:tcPr>
            <w:tcW w:w="3203" w:type="pct"/>
            <w:vAlign w:val="center"/>
          </w:tcPr>
          <w:p w14:paraId="45D05D98" w14:textId="77777777" w:rsidR="00496804" w:rsidRDefault="0037359D">
            <w:pPr>
              <w:spacing w:line="240" w:lineRule="auto"/>
              <w:jc w:val="left"/>
              <w:rPr>
                <w:rFonts w:ascii="Times New Roman" w:hAnsi="Times New Roman"/>
                <w:sz w:val="24"/>
              </w:rPr>
            </w:pPr>
            <w:r>
              <w:rPr>
                <w:rFonts w:ascii="Times New Roman" w:hAnsi="Times New Roman"/>
                <w:sz w:val="24"/>
              </w:rPr>
              <w:t xml:space="preserve">Zelena javna nabava </w:t>
            </w:r>
          </w:p>
        </w:tc>
      </w:tr>
      <w:tr w:rsidR="00496804" w14:paraId="45D05D9D" w14:textId="77777777">
        <w:tc>
          <w:tcPr>
            <w:tcW w:w="1409" w:type="pct"/>
            <w:vMerge/>
            <w:tcBorders>
              <w:right w:val="single" w:sz="4" w:space="0" w:color="auto"/>
            </w:tcBorders>
            <w:shd w:val="clear" w:color="auto" w:fill="FFCCA6" w:themeFill="accent5" w:themeFillTint="66"/>
            <w:vAlign w:val="center"/>
          </w:tcPr>
          <w:p w14:paraId="45D05D9A"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B" w14:textId="77777777" w:rsidR="00496804" w:rsidRDefault="0037359D">
            <w:pPr>
              <w:spacing w:line="240" w:lineRule="auto"/>
              <w:jc w:val="right"/>
              <w:rPr>
                <w:rFonts w:ascii="Times New Roman" w:hAnsi="Times New Roman"/>
                <w:sz w:val="24"/>
              </w:rPr>
            </w:pPr>
            <w:r>
              <w:rPr>
                <w:rFonts w:ascii="Times New Roman" w:hAnsi="Times New Roman"/>
                <w:sz w:val="24"/>
              </w:rPr>
              <w:t>3.a-c</w:t>
            </w:r>
          </w:p>
        </w:tc>
        <w:tc>
          <w:tcPr>
            <w:tcW w:w="3203" w:type="pct"/>
            <w:vAlign w:val="center"/>
          </w:tcPr>
          <w:p w14:paraId="45D05D9C"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Stvaranje otpada </w:t>
            </w:r>
          </w:p>
        </w:tc>
      </w:tr>
      <w:tr w:rsidR="00496804" w14:paraId="45D05DA1" w14:textId="77777777">
        <w:tc>
          <w:tcPr>
            <w:tcW w:w="1409" w:type="pct"/>
            <w:vMerge/>
            <w:tcBorders>
              <w:right w:val="single" w:sz="4" w:space="0" w:color="auto"/>
            </w:tcBorders>
            <w:shd w:val="clear" w:color="auto" w:fill="FFCCA6" w:themeFill="accent5" w:themeFillTint="66"/>
            <w:vAlign w:val="center"/>
          </w:tcPr>
          <w:p w14:paraId="45D05D9E"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F" w14:textId="77777777" w:rsidR="00496804" w:rsidRDefault="0037359D">
            <w:pPr>
              <w:spacing w:line="240" w:lineRule="auto"/>
              <w:jc w:val="right"/>
              <w:rPr>
                <w:rFonts w:ascii="Times New Roman" w:hAnsi="Times New Roman"/>
                <w:sz w:val="24"/>
              </w:rPr>
            </w:pPr>
            <w:r>
              <w:rPr>
                <w:rFonts w:ascii="Times New Roman" w:hAnsi="Times New Roman"/>
                <w:sz w:val="24"/>
              </w:rPr>
              <w:t>4.</w:t>
            </w:r>
          </w:p>
        </w:tc>
        <w:tc>
          <w:tcPr>
            <w:tcW w:w="3203" w:type="pct"/>
            <w:vAlign w:val="center"/>
          </w:tcPr>
          <w:p w14:paraId="45D05DA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Rasipanje hrane </w:t>
            </w:r>
          </w:p>
        </w:tc>
      </w:tr>
      <w:tr w:rsidR="00496804" w14:paraId="45D05DA5" w14:textId="77777777">
        <w:tc>
          <w:tcPr>
            <w:tcW w:w="1409" w:type="pct"/>
            <w:vMerge w:val="restart"/>
            <w:tcBorders>
              <w:right w:val="single" w:sz="4" w:space="0" w:color="auto"/>
            </w:tcBorders>
            <w:shd w:val="clear" w:color="auto" w:fill="FFCCA6" w:themeFill="accent5" w:themeFillTint="66"/>
            <w:vAlign w:val="center"/>
          </w:tcPr>
          <w:p w14:paraId="45D05DA2" w14:textId="77777777" w:rsidR="00496804" w:rsidRDefault="0037359D">
            <w:pPr>
              <w:spacing w:line="240" w:lineRule="auto"/>
              <w:jc w:val="left"/>
              <w:rPr>
                <w:rFonts w:ascii="Times New Roman" w:hAnsi="Times New Roman"/>
                <w:b/>
                <w:bCs/>
                <w:sz w:val="24"/>
              </w:rPr>
            </w:pPr>
            <w:r>
              <w:rPr>
                <w:rFonts w:ascii="Times New Roman" w:hAnsi="Times New Roman"/>
                <w:b/>
                <w:bCs/>
                <w:sz w:val="24"/>
              </w:rPr>
              <w:t>Gospodarenje otpadom</w:t>
            </w:r>
          </w:p>
        </w:tc>
        <w:tc>
          <w:tcPr>
            <w:tcW w:w="388" w:type="pct"/>
            <w:tcBorders>
              <w:left w:val="single" w:sz="4" w:space="0" w:color="auto"/>
            </w:tcBorders>
            <w:vAlign w:val="center"/>
          </w:tcPr>
          <w:p w14:paraId="45D05DA3" w14:textId="77777777" w:rsidR="00496804" w:rsidRDefault="0037359D">
            <w:pPr>
              <w:spacing w:line="240" w:lineRule="auto"/>
              <w:jc w:val="right"/>
              <w:rPr>
                <w:rFonts w:ascii="Times New Roman" w:hAnsi="Times New Roman"/>
                <w:sz w:val="24"/>
              </w:rPr>
            </w:pPr>
            <w:r>
              <w:rPr>
                <w:rFonts w:ascii="Times New Roman" w:hAnsi="Times New Roman"/>
                <w:sz w:val="24"/>
              </w:rPr>
              <w:t>5.a-b</w:t>
            </w:r>
          </w:p>
        </w:tc>
        <w:tc>
          <w:tcPr>
            <w:tcW w:w="3203" w:type="pct"/>
            <w:vAlign w:val="center"/>
          </w:tcPr>
          <w:p w14:paraId="45D05DA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Ukupna stopa recikliranja </w:t>
            </w:r>
          </w:p>
        </w:tc>
      </w:tr>
      <w:tr w:rsidR="00496804" w14:paraId="45D05DA9" w14:textId="77777777">
        <w:tc>
          <w:tcPr>
            <w:tcW w:w="1409" w:type="pct"/>
            <w:vMerge/>
            <w:tcBorders>
              <w:right w:val="single" w:sz="4" w:space="0" w:color="auto"/>
            </w:tcBorders>
            <w:shd w:val="clear" w:color="auto" w:fill="FFCCA6" w:themeFill="accent5" w:themeFillTint="66"/>
            <w:vAlign w:val="center"/>
          </w:tcPr>
          <w:p w14:paraId="45D05DA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A7" w14:textId="77777777" w:rsidR="00496804" w:rsidRDefault="0037359D">
            <w:pPr>
              <w:spacing w:line="240" w:lineRule="auto"/>
              <w:jc w:val="right"/>
              <w:rPr>
                <w:rFonts w:ascii="Times New Roman" w:hAnsi="Times New Roman"/>
                <w:sz w:val="24"/>
              </w:rPr>
            </w:pPr>
            <w:r>
              <w:rPr>
                <w:rFonts w:ascii="Times New Roman" w:hAnsi="Times New Roman"/>
                <w:sz w:val="24"/>
              </w:rPr>
              <w:t>6.a-f</w:t>
            </w:r>
          </w:p>
        </w:tc>
        <w:tc>
          <w:tcPr>
            <w:tcW w:w="3203" w:type="pct"/>
            <w:vAlign w:val="center"/>
          </w:tcPr>
          <w:p w14:paraId="45D05DA8"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Stope recikliranja za posebne tokove otpada </w:t>
            </w:r>
          </w:p>
        </w:tc>
      </w:tr>
      <w:tr w:rsidR="00496804" w14:paraId="45D05DAD" w14:textId="77777777">
        <w:tc>
          <w:tcPr>
            <w:tcW w:w="1409" w:type="pct"/>
            <w:vMerge w:val="restart"/>
            <w:tcBorders>
              <w:right w:val="single" w:sz="4" w:space="0" w:color="auto"/>
            </w:tcBorders>
            <w:shd w:val="clear" w:color="auto" w:fill="FFCCA6" w:themeFill="accent5" w:themeFillTint="66"/>
            <w:vAlign w:val="center"/>
          </w:tcPr>
          <w:p w14:paraId="45D05DAA" w14:textId="77777777" w:rsidR="00496804" w:rsidRDefault="0037359D">
            <w:pPr>
              <w:spacing w:line="240" w:lineRule="auto"/>
              <w:jc w:val="left"/>
              <w:rPr>
                <w:rFonts w:ascii="Times New Roman" w:hAnsi="Times New Roman"/>
                <w:b/>
                <w:bCs/>
                <w:sz w:val="24"/>
              </w:rPr>
            </w:pPr>
            <w:r>
              <w:rPr>
                <w:rFonts w:ascii="Times New Roman" w:hAnsi="Times New Roman"/>
                <w:b/>
                <w:bCs/>
                <w:sz w:val="24"/>
              </w:rPr>
              <w:t>Sekundarne sirovine</w:t>
            </w:r>
          </w:p>
        </w:tc>
        <w:tc>
          <w:tcPr>
            <w:tcW w:w="388" w:type="pct"/>
            <w:tcBorders>
              <w:left w:val="single" w:sz="4" w:space="0" w:color="auto"/>
            </w:tcBorders>
            <w:vAlign w:val="center"/>
          </w:tcPr>
          <w:p w14:paraId="45D05DAB" w14:textId="77777777" w:rsidR="00496804" w:rsidRDefault="0037359D">
            <w:pPr>
              <w:spacing w:line="240" w:lineRule="auto"/>
              <w:jc w:val="right"/>
              <w:rPr>
                <w:rFonts w:ascii="Times New Roman" w:hAnsi="Times New Roman"/>
                <w:sz w:val="24"/>
              </w:rPr>
            </w:pPr>
            <w:r>
              <w:rPr>
                <w:rFonts w:ascii="Times New Roman" w:hAnsi="Times New Roman"/>
                <w:sz w:val="24"/>
              </w:rPr>
              <w:t>7.a-b</w:t>
            </w:r>
          </w:p>
        </w:tc>
        <w:tc>
          <w:tcPr>
            <w:tcW w:w="3203" w:type="pct"/>
            <w:vAlign w:val="center"/>
          </w:tcPr>
          <w:p w14:paraId="45D05DAC" w14:textId="77777777" w:rsidR="00496804" w:rsidRDefault="0037359D">
            <w:pPr>
              <w:spacing w:line="240" w:lineRule="auto"/>
              <w:jc w:val="left"/>
              <w:rPr>
                <w:rFonts w:ascii="Times New Roman" w:hAnsi="Times New Roman"/>
                <w:sz w:val="24"/>
              </w:rPr>
            </w:pPr>
            <w:r>
              <w:rPr>
                <w:rFonts w:ascii="Times New Roman" w:hAnsi="Times New Roman"/>
                <w:sz w:val="24"/>
              </w:rPr>
              <w:t xml:space="preserve">Udio recikliranog materijala u potražnji za sirovinama </w:t>
            </w:r>
          </w:p>
        </w:tc>
      </w:tr>
      <w:tr w:rsidR="00496804" w14:paraId="45D05DB1" w14:textId="77777777">
        <w:tc>
          <w:tcPr>
            <w:tcW w:w="1409" w:type="pct"/>
            <w:vMerge/>
            <w:tcBorders>
              <w:right w:val="single" w:sz="4" w:space="0" w:color="auto"/>
            </w:tcBorders>
            <w:shd w:val="clear" w:color="auto" w:fill="FFCCA6" w:themeFill="accent5" w:themeFillTint="66"/>
            <w:vAlign w:val="center"/>
          </w:tcPr>
          <w:p w14:paraId="45D05DAE"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AF" w14:textId="77777777" w:rsidR="00496804" w:rsidRDefault="0037359D">
            <w:pPr>
              <w:spacing w:line="240" w:lineRule="auto"/>
              <w:jc w:val="right"/>
              <w:rPr>
                <w:rFonts w:ascii="Times New Roman" w:hAnsi="Times New Roman"/>
                <w:sz w:val="24"/>
              </w:rPr>
            </w:pPr>
            <w:r>
              <w:rPr>
                <w:rFonts w:ascii="Times New Roman" w:hAnsi="Times New Roman"/>
                <w:sz w:val="24"/>
              </w:rPr>
              <w:t>8.</w:t>
            </w:r>
          </w:p>
        </w:tc>
        <w:tc>
          <w:tcPr>
            <w:tcW w:w="3203" w:type="pct"/>
            <w:vAlign w:val="center"/>
          </w:tcPr>
          <w:p w14:paraId="45D05DB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Trgovina sirovinama koje se mogu reciklirati </w:t>
            </w:r>
          </w:p>
        </w:tc>
      </w:tr>
      <w:tr w:rsidR="00496804" w14:paraId="45D05DB5" w14:textId="77777777">
        <w:tc>
          <w:tcPr>
            <w:tcW w:w="1409" w:type="pct"/>
            <w:vMerge w:val="restart"/>
            <w:tcBorders>
              <w:right w:val="single" w:sz="4" w:space="0" w:color="auto"/>
            </w:tcBorders>
            <w:shd w:val="clear" w:color="auto" w:fill="FFCCA6" w:themeFill="accent5" w:themeFillTint="66"/>
            <w:vAlign w:val="center"/>
          </w:tcPr>
          <w:p w14:paraId="45D05DB2" w14:textId="77777777" w:rsidR="00496804" w:rsidRDefault="0037359D">
            <w:pPr>
              <w:spacing w:line="240" w:lineRule="auto"/>
              <w:jc w:val="left"/>
              <w:rPr>
                <w:rFonts w:ascii="Times New Roman" w:hAnsi="Times New Roman"/>
                <w:b/>
                <w:bCs/>
                <w:sz w:val="24"/>
              </w:rPr>
            </w:pPr>
            <w:r>
              <w:rPr>
                <w:rFonts w:ascii="Times New Roman" w:hAnsi="Times New Roman"/>
                <w:b/>
                <w:bCs/>
                <w:sz w:val="24"/>
              </w:rPr>
              <w:t>Konkurentnost i inovacije</w:t>
            </w:r>
          </w:p>
        </w:tc>
        <w:tc>
          <w:tcPr>
            <w:tcW w:w="388" w:type="pct"/>
            <w:tcBorders>
              <w:left w:val="single" w:sz="4" w:space="0" w:color="auto"/>
            </w:tcBorders>
            <w:vAlign w:val="center"/>
          </w:tcPr>
          <w:p w14:paraId="45D05DB3" w14:textId="77777777" w:rsidR="00496804" w:rsidRDefault="0037359D">
            <w:pPr>
              <w:spacing w:line="240" w:lineRule="auto"/>
              <w:jc w:val="right"/>
              <w:rPr>
                <w:rFonts w:ascii="Times New Roman" w:hAnsi="Times New Roman"/>
                <w:sz w:val="24"/>
              </w:rPr>
            </w:pPr>
            <w:r>
              <w:rPr>
                <w:rFonts w:ascii="Times New Roman" w:hAnsi="Times New Roman"/>
                <w:sz w:val="24"/>
              </w:rPr>
              <w:t>9.a-c</w:t>
            </w:r>
          </w:p>
        </w:tc>
        <w:tc>
          <w:tcPr>
            <w:tcW w:w="3203" w:type="pct"/>
            <w:vAlign w:val="center"/>
          </w:tcPr>
          <w:p w14:paraId="45D05DB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Privatna ulaganja, radna mjesta i bruto dodana vrijednost </w:t>
            </w:r>
          </w:p>
        </w:tc>
      </w:tr>
      <w:tr w:rsidR="00496804" w14:paraId="45D05DB9" w14:textId="77777777">
        <w:trPr>
          <w:trHeight w:val="97"/>
        </w:trPr>
        <w:tc>
          <w:tcPr>
            <w:tcW w:w="1409" w:type="pct"/>
            <w:vMerge/>
            <w:tcBorders>
              <w:right w:val="single" w:sz="4" w:space="0" w:color="auto"/>
            </w:tcBorders>
            <w:shd w:val="clear" w:color="auto" w:fill="FFCCA6" w:themeFill="accent5" w:themeFillTint="66"/>
            <w:vAlign w:val="center"/>
          </w:tcPr>
          <w:p w14:paraId="45D05DB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B7" w14:textId="77777777" w:rsidR="00496804" w:rsidRDefault="0037359D">
            <w:pPr>
              <w:spacing w:line="240" w:lineRule="auto"/>
              <w:jc w:val="right"/>
              <w:rPr>
                <w:rFonts w:ascii="Times New Roman" w:hAnsi="Times New Roman"/>
                <w:sz w:val="24"/>
              </w:rPr>
            </w:pPr>
            <w:r>
              <w:rPr>
                <w:rFonts w:ascii="Times New Roman" w:hAnsi="Times New Roman"/>
                <w:sz w:val="24"/>
              </w:rPr>
              <w:t>10.</w:t>
            </w:r>
          </w:p>
        </w:tc>
        <w:tc>
          <w:tcPr>
            <w:tcW w:w="3203" w:type="pct"/>
            <w:vAlign w:val="center"/>
          </w:tcPr>
          <w:p w14:paraId="45D05DB8" w14:textId="77777777" w:rsidR="00496804" w:rsidRDefault="0037359D">
            <w:pPr>
              <w:spacing w:line="240" w:lineRule="auto"/>
              <w:jc w:val="left"/>
              <w:rPr>
                <w:rFonts w:ascii="Times New Roman" w:hAnsi="Times New Roman"/>
                <w:sz w:val="24"/>
              </w:rPr>
            </w:pPr>
            <w:r>
              <w:rPr>
                <w:rFonts w:ascii="Times New Roman" w:hAnsi="Times New Roman"/>
                <w:sz w:val="24"/>
              </w:rPr>
              <w:t>Patenti</w:t>
            </w:r>
          </w:p>
        </w:tc>
      </w:tr>
    </w:tbl>
    <w:p w14:paraId="45D05DBA" w14:textId="77777777" w:rsidR="00496804" w:rsidRDefault="00496804">
      <w:pPr>
        <w:pStyle w:val="Bezproreda"/>
        <w:jc w:val="both"/>
        <w:rPr>
          <w:lang w:val="hr-HR"/>
        </w:rPr>
      </w:pPr>
    </w:p>
    <w:p w14:paraId="45D05DB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Ovi pokazatelji slijede općenitu logiku i strukturu akcijskog plana za kružno gospodarstvo te nisu direktno primjenjivi na praćenje kružnog gospodarenja prostorom i zgradama.</w:t>
      </w:r>
    </w:p>
    <w:p w14:paraId="45D05DBC" w14:textId="77777777" w:rsidR="00496804" w:rsidRDefault="00496804">
      <w:pPr>
        <w:pStyle w:val="tekst"/>
        <w:spacing w:line="240" w:lineRule="auto"/>
        <w:rPr>
          <w:rFonts w:ascii="Times New Roman" w:hAnsi="Times New Roman" w:cs="Times New Roman"/>
          <w:sz w:val="24"/>
          <w:szCs w:val="24"/>
        </w:rPr>
      </w:pPr>
    </w:p>
    <w:p w14:paraId="45D05DB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Kako je kružno gospodarstvo u ranoj fazi razvoja na razini čitave EU, EK kontinuirano radi na poboljšanju baze znanja i dostupnosti podataka za mjerenje napretka u kružnom gospodarstvu. Također, razvija se metodologija prikupljanja podataka koji se mogu upotrijebiti za pokazatelje. U okviru paketa o kružnom gospodarstvu iz 2015. godine nastoji se poboljšati kvaliteta statističkih podataka EU-a o otpadu, a EK predlaže usklađivanje metodologija za izračun stopa recikliranja za komunalni i ambalažni otpad. Obveza RH je pratiti razvoj pokazatelja kružnog gospodarstva definiranih na razini EU i paralelno razvijati sustav prikupljanja podataka potrebnih za njihovo praćenje.</w:t>
      </w:r>
    </w:p>
    <w:p w14:paraId="45D05DBE" w14:textId="77777777" w:rsidR="00496804" w:rsidRDefault="00496804">
      <w:pPr>
        <w:pStyle w:val="tekst"/>
        <w:spacing w:line="240" w:lineRule="auto"/>
        <w:rPr>
          <w:rFonts w:ascii="Times New Roman" w:hAnsi="Times New Roman" w:cs="Times New Roman"/>
          <w:sz w:val="24"/>
          <w:szCs w:val="24"/>
        </w:rPr>
      </w:pPr>
    </w:p>
    <w:p w14:paraId="45D05DBF" w14:textId="7945B0BE"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Uvidom u prijedlog biblioteke pokazatelja EFRR &amp; KF</w:t>
      </w:r>
      <w:r>
        <w:rPr>
          <w:rStyle w:val="Referencafusnote"/>
          <w:rFonts w:ascii="Times New Roman" w:hAnsi="Times New Roman" w:cs="Times New Roman"/>
          <w:sz w:val="24"/>
          <w:szCs w:val="24"/>
        </w:rPr>
        <w:footnoteReference w:id="75"/>
      </w:r>
      <w:r>
        <w:rPr>
          <w:rFonts w:ascii="Times New Roman" w:hAnsi="Times New Roman" w:cs="Times New Roman"/>
          <w:sz w:val="24"/>
          <w:szCs w:val="24"/>
        </w:rPr>
        <w:t xml:space="preserve"> prilaže</w:t>
      </w:r>
      <w:r w:rsidR="00455739">
        <w:rPr>
          <w:rFonts w:ascii="Times New Roman" w:hAnsi="Times New Roman" w:cs="Times New Roman"/>
          <w:sz w:val="24"/>
          <w:szCs w:val="24"/>
        </w:rPr>
        <w:t xml:space="preserve"> se</w:t>
      </w:r>
      <w:r>
        <w:rPr>
          <w:rFonts w:ascii="Times New Roman" w:hAnsi="Times New Roman" w:cs="Times New Roman"/>
          <w:sz w:val="24"/>
          <w:szCs w:val="24"/>
        </w:rPr>
        <w:t xml:space="preserve"> list</w:t>
      </w:r>
      <w:r w:rsidR="00455739">
        <w:rPr>
          <w:rFonts w:ascii="Times New Roman" w:hAnsi="Times New Roman" w:cs="Times New Roman"/>
          <w:sz w:val="24"/>
          <w:szCs w:val="24"/>
        </w:rPr>
        <w:t>a</w:t>
      </w:r>
      <w:r>
        <w:rPr>
          <w:rFonts w:ascii="Times New Roman" w:hAnsi="Times New Roman" w:cs="Times New Roman"/>
          <w:sz w:val="24"/>
          <w:szCs w:val="24"/>
        </w:rPr>
        <w:t xml:space="preserve"> pokazatelja vezanih na PO2. ”Zelenija Europa s niskom razinom emisija ugljika“ koji su kompatibilni za primjenu u praćenju Programa razvoja KG.</w:t>
      </w:r>
    </w:p>
    <w:p w14:paraId="45D05DC0" w14:textId="1BF1696E"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DC1" w14:textId="77777777" w:rsidR="00496804" w:rsidRDefault="00496804">
      <w:pPr>
        <w:pStyle w:val="tekst"/>
        <w:spacing w:line="240" w:lineRule="auto"/>
        <w:rPr>
          <w:rFonts w:ascii="Times New Roman" w:hAnsi="Times New Roman" w:cs="Times New Roman"/>
          <w:sz w:val="24"/>
          <w:szCs w:val="24"/>
        </w:rPr>
      </w:pPr>
    </w:p>
    <w:p w14:paraId="45D05DC2"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14. Pokazatelji EFRR &amp; KF kompatibilni za korištenje u ovom Programu </w:t>
      </w:r>
    </w:p>
    <w:tbl>
      <w:tblPr>
        <w:tblStyle w:val="Reetkatablice"/>
        <w:tblW w:w="9492" w:type="dxa"/>
        <w:tblBorders>
          <w:left w:val="none" w:sz="0" w:space="0" w:color="auto"/>
          <w:right w:val="none" w:sz="0" w:space="0" w:color="auto"/>
        </w:tblBorders>
        <w:tblLayout w:type="fixed"/>
        <w:tblLook w:val="04A0" w:firstRow="1" w:lastRow="0" w:firstColumn="1" w:lastColumn="0" w:noHBand="0" w:noVBand="1"/>
      </w:tblPr>
      <w:tblGrid>
        <w:gridCol w:w="2675"/>
        <w:gridCol w:w="5525"/>
        <w:gridCol w:w="1292"/>
      </w:tblGrid>
      <w:tr w:rsidR="00496804" w14:paraId="45D05DC6" w14:textId="77777777">
        <w:trPr>
          <w:trHeight w:val="191"/>
        </w:trPr>
        <w:tc>
          <w:tcPr>
            <w:tcW w:w="2675" w:type="dxa"/>
            <w:shd w:val="clear" w:color="auto" w:fill="FFCCA6" w:themeFill="accent5" w:themeFillTint="66"/>
          </w:tcPr>
          <w:p w14:paraId="45D05DC3" w14:textId="77777777" w:rsidR="00496804" w:rsidRDefault="0037359D">
            <w:pPr>
              <w:spacing w:line="240" w:lineRule="auto"/>
              <w:jc w:val="left"/>
              <w:rPr>
                <w:rFonts w:ascii="Times New Roman" w:hAnsi="Times New Roman"/>
                <w:b/>
                <w:bCs/>
                <w:sz w:val="24"/>
              </w:rPr>
            </w:pPr>
            <w:r>
              <w:rPr>
                <w:rFonts w:ascii="Times New Roman" w:hAnsi="Times New Roman"/>
                <w:b/>
                <w:bCs/>
                <w:sz w:val="24"/>
              </w:rPr>
              <w:t>Kategorija</w:t>
            </w:r>
          </w:p>
        </w:tc>
        <w:tc>
          <w:tcPr>
            <w:tcW w:w="5525" w:type="dxa"/>
          </w:tcPr>
          <w:p w14:paraId="45D05DC4" w14:textId="77777777" w:rsidR="00496804" w:rsidRDefault="0037359D">
            <w:pPr>
              <w:spacing w:line="240" w:lineRule="auto"/>
              <w:jc w:val="left"/>
              <w:rPr>
                <w:rFonts w:ascii="Times New Roman" w:hAnsi="Times New Roman"/>
                <w:b/>
                <w:bCs/>
                <w:sz w:val="24"/>
              </w:rPr>
            </w:pPr>
            <w:r>
              <w:rPr>
                <w:rFonts w:ascii="Times New Roman" w:hAnsi="Times New Roman"/>
                <w:b/>
                <w:bCs/>
                <w:sz w:val="24"/>
              </w:rPr>
              <w:t>Opis pokazatelja</w:t>
            </w:r>
          </w:p>
        </w:tc>
        <w:tc>
          <w:tcPr>
            <w:tcW w:w="1292" w:type="dxa"/>
          </w:tcPr>
          <w:p w14:paraId="45D05DC5"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Jedinica</w:t>
            </w:r>
          </w:p>
        </w:tc>
      </w:tr>
      <w:tr w:rsidR="00496804" w14:paraId="45D05DCA" w14:textId="77777777">
        <w:trPr>
          <w:trHeight w:val="249"/>
        </w:trPr>
        <w:tc>
          <w:tcPr>
            <w:tcW w:w="2675" w:type="dxa"/>
            <w:vMerge w:val="restart"/>
            <w:shd w:val="clear" w:color="auto" w:fill="FFCCA6" w:themeFill="accent5" w:themeFillTint="66"/>
            <w:vAlign w:val="center"/>
          </w:tcPr>
          <w:p w14:paraId="45D05DC7"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Promicanje mjera energetske učinkovitosti</w:t>
            </w:r>
          </w:p>
        </w:tc>
        <w:tc>
          <w:tcPr>
            <w:tcW w:w="5525" w:type="dxa"/>
            <w:vAlign w:val="center"/>
          </w:tcPr>
          <w:p w14:paraId="45D05DC8" w14:textId="77777777" w:rsidR="00496804" w:rsidRDefault="0037359D">
            <w:pPr>
              <w:spacing w:line="240" w:lineRule="auto"/>
              <w:jc w:val="left"/>
              <w:rPr>
                <w:rFonts w:ascii="Times New Roman" w:hAnsi="Times New Roman"/>
                <w:sz w:val="24"/>
              </w:rPr>
            </w:pPr>
            <w:r>
              <w:rPr>
                <w:rFonts w:ascii="Times New Roman" w:hAnsi="Times New Roman"/>
                <w:sz w:val="24"/>
              </w:rPr>
              <w:t>Kućanstva s poboljšanim energetskim svojstvima</w:t>
            </w:r>
          </w:p>
        </w:tc>
        <w:tc>
          <w:tcPr>
            <w:tcW w:w="1292" w:type="dxa"/>
          </w:tcPr>
          <w:p w14:paraId="45D05DC9" w14:textId="77777777" w:rsidR="00496804" w:rsidRDefault="0037359D">
            <w:pPr>
              <w:spacing w:line="240" w:lineRule="auto"/>
              <w:jc w:val="center"/>
              <w:rPr>
                <w:rFonts w:ascii="Times New Roman" w:hAnsi="Times New Roman"/>
                <w:sz w:val="24"/>
              </w:rPr>
            </w:pPr>
            <w:r>
              <w:rPr>
                <w:rFonts w:ascii="Times New Roman" w:hAnsi="Times New Roman"/>
                <w:sz w:val="24"/>
              </w:rPr>
              <w:t>kućanstva</w:t>
            </w:r>
          </w:p>
        </w:tc>
      </w:tr>
      <w:tr w:rsidR="00496804" w14:paraId="45D05DCE" w14:textId="77777777">
        <w:trPr>
          <w:trHeight w:val="251"/>
        </w:trPr>
        <w:tc>
          <w:tcPr>
            <w:tcW w:w="2675" w:type="dxa"/>
            <w:vMerge/>
            <w:shd w:val="clear" w:color="auto" w:fill="FFCCA6" w:themeFill="accent5" w:themeFillTint="66"/>
            <w:vAlign w:val="center"/>
          </w:tcPr>
          <w:p w14:paraId="45D05DCB" w14:textId="77777777" w:rsidR="00496804" w:rsidRDefault="00496804">
            <w:pPr>
              <w:spacing w:line="240" w:lineRule="auto"/>
              <w:jc w:val="left"/>
              <w:rPr>
                <w:rFonts w:ascii="Times New Roman" w:hAnsi="Times New Roman"/>
                <w:sz w:val="24"/>
              </w:rPr>
            </w:pPr>
          </w:p>
        </w:tc>
        <w:tc>
          <w:tcPr>
            <w:tcW w:w="5525" w:type="dxa"/>
            <w:vAlign w:val="center"/>
          </w:tcPr>
          <w:p w14:paraId="45D05DCC" w14:textId="77777777" w:rsidR="00496804" w:rsidRDefault="0037359D">
            <w:pPr>
              <w:spacing w:line="240" w:lineRule="auto"/>
              <w:jc w:val="left"/>
              <w:rPr>
                <w:rFonts w:ascii="Times New Roman" w:hAnsi="Times New Roman"/>
                <w:sz w:val="24"/>
              </w:rPr>
            </w:pPr>
            <w:r>
              <w:rPr>
                <w:rFonts w:ascii="Times New Roman" w:hAnsi="Times New Roman"/>
                <w:sz w:val="24"/>
              </w:rPr>
              <w:t>Zgrade javnog sektora s poboljšanim energetskim svojstvima</w:t>
            </w:r>
          </w:p>
        </w:tc>
        <w:tc>
          <w:tcPr>
            <w:tcW w:w="1292" w:type="dxa"/>
          </w:tcPr>
          <w:p w14:paraId="45D05DCD" w14:textId="77777777" w:rsidR="00496804" w:rsidRDefault="0037359D">
            <w:pPr>
              <w:spacing w:line="240" w:lineRule="auto"/>
              <w:jc w:val="center"/>
              <w:rPr>
                <w:rFonts w:ascii="Times New Roman" w:hAnsi="Times New Roman"/>
                <w:sz w:val="24"/>
              </w:rPr>
            </w:pPr>
            <w:r>
              <w:rPr>
                <w:rFonts w:ascii="Times New Roman" w:hAnsi="Times New Roman"/>
                <w:sz w:val="24"/>
              </w:rPr>
              <w:t>m</w:t>
            </w:r>
            <w:r>
              <w:rPr>
                <w:rFonts w:ascii="Times New Roman" w:hAnsi="Times New Roman"/>
                <w:sz w:val="24"/>
                <w:vertAlign w:val="superscript"/>
              </w:rPr>
              <w:t>2</w:t>
            </w:r>
          </w:p>
        </w:tc>
      </w:tr>
      <w:tr w:rsidR="00496804" w14:paraId="45D05DD2" w14:textId="77777777">
        <w:trPr>
          <w:trHeight w:val="251"/>
        </w:trPr>
        <w:tc>
          <w:tcPr>
            <w:tcW w:w="2675" w:type="dxa"/>
            <w:vMerge/>
            <w:shd w:val="clear" w:color="auto" w:fill="FFCCA6" w:themeFill="accent5" w:themeFillTint="66"/>
            <w:vAlign w:val="center"/>
          </w:tcPr>
          <w:p w14:paraId="45D05DCF" w14:textId="77777777" w:rsidR="00496804" w:rsidRDefault="00496804">
            <w:pPr>
              <w:spacing w:line="240" w:lineRule="auto"/>
              <w:jc w:val="left"/>
              <w:rPr>
                <w:rFonts w:ascii="Times New Roman" w:hAnsi="Times New Roman"/>
                <w:sz w:val="24"/>
              </w:rPr>
            </w:pPr>
          </w:p>
        </w:tc>
        <w:tc>
          <w:tcPr>
            <w:tcW w:w="5525" w:type="dxa"/>
            <w:vAlign w:val="center"/>
          </w:tcPr>
          <w:p w14:paraId="45D05DD0" w14:textId="06AEFBBC" w:rsidR="00496804" w:rsidRDefault="0037359D">
            <w:pPr>
              <w:spacing w:line="240" w:lineRule="auto"/>
              <w:jc w:val="left"/>
              <w:rPr>
                <w:rFonts w:ascii="Times New Roman" w:hAnsi="Times New Roman"/>
                <w:sz w:val="24"/>
              </w:rPr>
            </w:pPr>
            <w:r>
              <w:rPr>
                <w:rFonts w:ascii="Times New Roman" w:hAnsi="Times New Roman"/>
                <w:sz w:val="24"/>
              </w:rPr>
              <w:t>Godišnja potrošnja primarne energije (stambene, javne, komercijalne)</w:t>
            </w:r>
          </w:p>
        </w:tc>
        <w:tc>
          <w:tcPr>
            <w:tcW w:w="1292" w:type="dxa"/>
          </w:tcPr>
          <w:p w14:paraId="45D05DD1" w14:textId="77777777" w:rsidR="00496804" w:rsidRDefault="0037359D">
            <w:pPr>
              <w:spacing w:line="240" w:lineRule="auto"/>
              <w:jc w:val="center"/>
              <w:rPr>
                <w:rFonts w:ascii="Times New Roman" w:hAnsi="Times New Roman"/>
                <w:sz w:val="24"/>
              </w:rPr>
            </w:pPr>
            <w:r>
              <w:rPr>
                <w:rFonts w:ascii="Times New Roman" w:hAnsi="Times New Roman"/>
                <w:sz w:val="24"/>
              </w:rPr>
              <w:t>MWh/god.</w:t>
            </w:r>
          </w:p>
        </w:tc>
      </w:tr>
      <w:tr w:rsidR="00496804" w14:paraId="45D05DD6" w14:textId="77777777">
        <w:trPr>
          <w:trHeight w:val="233"/>
        </w:trPr>
        <w:tc>
          <w:tcPr>
            <w:tcW w:w="2675" w:type="dxa"/>
            <w:vMerge/>
            <w:shd w:val="clear" w:color="auto" w:fill="FFCCA6" w:themeFill="accent5" w:themeFillTint="66"/>
            <w:vAlign w:val="center"/>
          </w:tcPr>
          <w:p w14:paraId="45D05DD3" w14:textId="77777777" w:rsidR="00496804" w:rsidRDefault="00496804">
            <w:pPr>
              <w:spacing w:line="240" w:lineRule="auto"/>
              <w:jc w:val="left"/>
              <w:rPr>
                <w:rFonts w:ascii="Times New Roman" w:hAnsi="Times New Roman"/>
                <w:sz w:val="24"/>
              </w:rPr>
            </w:pPr>
          </w:p>
        </w:tc>
        <w:tc>
          <w:tcPr>
            <w:tcW w:w="5525" w:type="dxa"/>
            <w:vAlign w:val="center"/>
          </w:tcPr>
          <w:p w14:paraId="45D05DD4" w14:textId="77777777" w:rsidR="00496804" w:rsidRDefault="0037359D">
            <w:pPr>
              <w:spacing w:line="240" w:lineRule="auto"/>
              <w:jc w:val="left"/>
              <w:rPr>
                <w:rFonts w:ascii="Times New Roman" w:hAnsi="Times New Roman"/>
                <w:sz w:val="24"/>
              </w:rPr>
            </w:pPr>
            <w:r>
              <w:rPr>
                <w:rFonts w:ascii="Times New Roman" w:hAnsi="Times New Roman"/>
                <w:sz w:val="24"/>
              </w:rPr>
              <w:t>Procjena emisije stakleničkih plinova</w:t>
            </w:r>
          </w:p>
        </w:tc>
        <w:tc>
          <w:tcPr>
            <w:tcW w:w="1292" w:type="dxa"/>
          </w:tcPr>
          <w:p w14:paraId="45D05DD5" w14:textId="31D3DCD8" w:rsidR="00496804" w:rsidRDefault="0037359D">
            <w:pPr>
              <w:spacing w:line="240" w:lineRule="auto"/>
              <w:jc w:val="center"/>
              <w:rPr>
                <w:rFonts w:ascii="Times New Roman" w:hAnsi="Times New Roman"/>
                <w:sz w:val="24"/>
              </w:rPr>
            </w:pPr>
            <w:r>
              <w:rPr>
                <w:rFonts w:ascii="Times New Roman" w:hAnsi="Times New Roman"/>
                <w:sz w:val="24"/>
              </w:rPr>
              <w:t>t CO</w:t>
            </w:r>
            <w:r w:rsidR="00455739">
              <w:rPr>
                <w:rFonts w:ascii="Times New Roman" w:hAnsi="Times New Roman"/>
                <w:sz w:val="24"/>
              </w:rPr>
              <w:t>2</w:t>
            </w:r>
            <w:r>
              <w:rPr>
                <w:rFonts w:ascii="Times New Roman" w:hAnsi="Times New Roman"/>
                <w:sz w:val="24"/>
              </w:rPr>
              <w:t>/god.</w:t>
            </w:r>
          </w:p>
        </w:tc>
      </w:tr>
      <w:tr w:rsidR="00496804" w14:paraId="45D05DDA" w14:textId="77777777">
        <w:trPr>
          <w:trHeight w:val="233"/>
        </w:trPr>
        <w:tc>
          <w:tcPr>
            <w:tcW w:w="2675" w:type="dxa"/>
            <w:shd w:val="clear" w:color="auto" w:fill="FFCCA6" w:themeFill="accent5" w:themeFillTint="66"/>
            <w:vAlign w:val="center"/>
          </w:tcPr>
          <w:p w14:paraId="45D05DD7"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Promicanje prilagodbe klimatskim promjenama</w:t>
            </w:r>
          </w:p>
        </w:tc>
        <w:tc>
          <w:tcPr>
            <w:tcW w:w="5525" w:type="dxa"/>
            <w:vAlign w:val="center"/>
          </w:tcPr>
          <w:p w14:paraId="45D05DD8" w14:textId="77777777" w:rsidR="00496804" w:rsidRDefault="0037359D">
            <w:pPr>
              <w:spacing w:line="240" w:lineRule="auto"/>
              <w:jc w:val="left"/>
              <w:rPr>
                <w:rFonts w:ascii="Times New Roman" w:hAnsi="Times New Roman"/>
                <w:sz w:val="24"/>
              </w:rPr>
            </w:pPr>
            <w:r>
              <w:rPr>
                <w:rFonts w:ascii="Times New Roman" w:hAnsi="Times New Roman"/>
                <w:sz w:val="24"/>
              </w:rPr>
              <w:t>Stanovništvo koje ima koristi od mjera zaštite od prirodnih rizika koji nisu vezani uz klimatske promjene te od rizika povezanih s ljudskim aktivnostima</w:t>
            </w:r>
          </w:p>
        </w:tc>
        <w:tc>
          <w:tcPr>
            <w:tcW w:w="1292" w:type="dxa"/>
          </w:tcPr>
          <w:p w14:paraId="45D05DD9" w14:textId="77777777" w:rsidR="00496804" w:rsidRDefault="0037359D">
            <w:pPr>
              <w:spacing w:line="240" w:lineRule="auto"/>
              <w:jc w:val="center"/>
              <w:rPr>
                <w:rFonts w:ascii="Times New Roman" w:hAnsi="Times New Roman"/>
                <w:sz w:val="24"/>
              </w:rPr>
            </w:pPr>
            <w:r>
              <w:rPr>
                <w:rFonts w:ascii="Times New Roman" w:hAnsi="Times New Roman"/>
                <w:sz w:val="24"/>
              </w:rPr>
              <w:t>osobe</w:t>
            </w:r>
          </w:p>
        </w:tc>
      </w:tr>
      <w:tr w:rsidR="00496804" w14:paraId="45D05DDF" w14:textId="77777777">
        <w:trPr>
          <w:trHeight w:val="233"/>
        </w:trPr>
        <w:tc>
          <w:tcPr>
            <w:tcW w:w="2675" w:type="dxa"/>
            <w:shd w:val="clear" w:color="auto" w:fill="FFCCA6" w:themeFill="accent5" w:themeFillTint="66"/>
            <w:vAlign w:val="center"/>
          </w:tcPr>
          <w:p w14:paraId="45D05DDB" w14:textId="77777777" w:rsidR="00496804" w:rsidRDefault="0037359D">
            <w:pPr>
              <w:spacing w:line="240" w:lineRule="auto"/>
              <w:jc w:val="left"/>
              <w:rPr>
                <w:rFonts w:ascii="Times New Roman" w:hAnsi="Times New Roman"/>
                <w:b/>
                <w:bCs/>
                <w:sz w:val="24"/>
              </w:rPr>
            </w:pPr>
            <w:r>
              <w:rPr>
                <w:rFonts w:ascii="Times New Roman" w:hAnsi="Times New Roman"/>
                <w:b/>
                <w:bCs/>
                <w:sz w:val="24"/>
              </w:rPr>
              <w:t xml:space="preserve">Promicanje prelaska na </w:t>
            </w:r>
          </w:p>
          <w:p w14:paraId="45D05DDC" w14:textId="77777777" w:rsidR="00496804" w:rsidRDefault="0037359D">
            <w:pPr>
              <w:spacing w:line="240" w:lineRule="auto"/>
              <w:jc w:val="left"/>
              <w:rPr>
                <w:rFonts w:ascii="Times New Roman" w:hAnsi="Times New Roman"/>
                <w:b/>
                <w:bCs/>
                <w:sz w:val="24"/>
              </w:rPr>
            </w:pPr>
            <w:r>
              <w:rPr>
                <w:rFonts w:ascii="Times New Roman" w:hAnsi="Times New Roman"/>
                <w:b/>
                <w:bCs/>
                <w:sz w:val="24"/>
              </w:rPr>
              <w:t>kružno gospodarstvo</w:t>
            </w:r>
          </w:p>
        </w:tc>
        <w:tc>
          <w:tcPr>
            <w:tcW w:w="5525" w:type="dxa"/>
            <w:vAlign w:val="center"/>
          </w:tcPr>
          <w:p w14:paraId="45D05DDD" w14:textId="77777777" w:rsidR="00496804" w:rsidRDefault="0037359D">
            <w:pPr>
              <w:spacing w:line="240" w:lineRule="auto"/>
              <w:jc w:val="left"/>
              <w:rPr>
                <w:rFonts w:ascii="Times New Roman" w:hAnsi="Times New Roman"/>
                <w:sz w:val="24"/>
              </w:rPr>
            </w:pPr>
            <w:r>
              <w:rPr>
                <w:rFonts w:ascii="Times New Roman" w:hAnsi="Times New Roman"/>
                <w:sz w:val="24"/>
              </w:rPr>
              <w:t>Oporabljeni otpad koji se koristi kao sirovina</w:t>
            </w:r>
          </w:p>
        </w:tc>
        <w:tc>
          <w:tcPr>
            <w:tcW w:w="1292" w:type="dxa"/>
          </w:tcPr>
          <w:p w14:paraId="45D05DDE" w14:textId="77777777" w:rsidR="00496804" w:rsidRDefault="0037359D">
            <w:pPr>
              <w:spacing w:line="240" w:lineRule="auto"/>
              <w:jc w:val="center"/>
              <w:rPr>
                <w:rFonts w:ascii="Times New Roman" w:hAnsi="Times New Roman"/>
                <w:sz w:val="24"/>
              </w:rPr>
            </w:pPr>
            <w:r>
              <w:rPr>
                <w:rFonts w:ascii="Times New Roman" w:hAnsi="Times New Roman"/>
                <w:sz w:val="24"/>
              </w:rPr>
              <w:t>t/god.</w:t>
            </w:r>
          </w:p>
        </w:tc>
      </w:tr>
    </w:tbl>
    <w:p w14:paraId="45D05DE0" w14:textId="77777777" w:rsidR="00496804" w:rsidRDefault="00496804">
      <w:pPr>
        <w:pStyle w:val="Bezproreda"/>
        <w:jc w:val="both"/>
        <w:rPr>
          <w:lang w:val="hr-HR"/>
        </w:rPr>
      </w:pPr>
    </w:p>
    <w:p w14:paraId="45D05DE1" w14:textId="77777777" w:rsidR="00496804" w:rsidRDefault="00496804">
      <w:pPr>
        <w:pStyle w:val="tekst"/>
        <w:spacing w:line="240" w:lineRule="auto"/>
        <w:rPr>
          <w:rFonts w:ascii="Times New Roman" w:hAnsi="Times New Roman" w:cs="Times New Roman"/>
          <w:sz w:val="24"/>
          <w:szCs w:val="24"/>
        </w:rPr>
      </w:pPr>
    </w:p>
    <w:p w14:paraId="45D05DE2" w14:textId="019A62B6" w:rsidR="00496804" w:rsidRDefault="0037359D">
      <w:pPr>
        <w:pStyle w:val="Bezproreda"/>
        <w:jc w:val="both"/>
        <w:rPr>
          <w:lang w:val="hr-HR"/>
        </w:rPr>
      </w:pPr>
      <w:r>
        <w:rPr>
          <w:lang w:val="hr-HR"/>
        </w:rPr>
        <w:t>Kružnom obnovom nekorištenih zgrada poboljšavaju se energetska svojstva zgrada. Međutim, nekorištene zgrade ne sudjeluju u potrošnji energije te se energetskom obnovom takvih zgrada ne ostvaruju uštede energije prilikom ponovnog korištenja zgrade. Naprotiv, potrošnja energije u korištenju zgrade se povećava. S obzirom na navedeno, pokazatelj koji se odnosi na godišnju potrošnj</w:t>
      </w:r>
      <w:r w:rsidR="00455739">
        <w:rPr>
          <w:lang w:val="hr-HR"/>
        </w:rPr>
        <w:t>u</w:t>
      </w:r>
      <w:r>
        <w:rPr>
          <w:lang w:val="hr-HR"/>
        </w:rPr>
        <w:t xml:space="preserve"> primarne energije nije primjenjiv za kružnu obnovu nekorištenih zgrada. Primjenjivi su pokazatelji koji iskazuju poboljšanje energetskih svojstava zgrada, čije se ostvarenje dokazuje glavnim projektom zgrade i završnim izvješćem nadzornog inženjera kojim se potvrđuje da su radovi kružne obnove izvedeni sukladno glavnom projektu.</w:t>
      </w:r>
    </w:p>
    <w:p w14:paraId="45D05DE3" w14:textId="77777777" w:rsidR="00496804" w:rsidRDefault="00496804">
      <w:pPr>
        <w:pStyle w:val="Bezproreda"/>
        <w:jc w:val="both"/>
        <w:rPr>
          <w:lang w:val="hr-HR"/>
        </w:rPr>
      </w:pPr>
    </w:p>
    <w:p w14:paraId="45D05DE6" w14:textId="77777777" w:rsidR="00496804" w:rsidRDefault="0037359D">
      <w:pPr>
        <w:pStyle w:val="Bezproreda"/>
        <w:jc w:val="both"/>
        <w:rPr>
          <w:lang w:val="hr-HR"/>
        </w:rPr>
      </w:pPr>
      <w:r>
        <w:rPr>
          <w:lang w:val="hr-HR"/>
        </w:rPr>
        <w:t>Stanovništvo koje ima koristi od mjera zaštite od prirodnih rizika koji nisu vezani uz klimatske promjene te od rizika povezanih s ljudskim aktivnostima odnosi se na broj korisnika zgrada koje će u sklopu kružne obnove primijeniti mjere zaštite od prirodnih rizika, primjerice ojačanja na djelovanje potresa.</w:t>
      </w:r>
    </w:p>
    <w:p w14:paraId="45D05DE7" w14:textId="77777777" w:rsidR="00496804" w:rsidRDefault="00496804">
      <w:pPr>
        <w:pStyle w:val="Bezproreda"/>
        <w:jc w:val="both"/>
        <w:rPr>
          <w:lang w:val="hr-HR"/>
        </w:rPr>
      </w:pPr>
    </w:p>
    <w:p w14:paraId="45D05DE8" w14:textId="77777777" w:rsidR="00496804" w:rsidRDefault="0037359D">
      <w:pPr>
        <w:pStyle w:val="Bezproreda"/>
        <w:jc w:val="both"/>
      </w:pPr>
      <w:r>
        <w:rPr>
          <w:lang w:val="hr-HR"/>
        </w:rPr>
        <w:t xml:space="preserve">Pokazatelj koji se odnosi na oporabljeni otpad koji se koristi kao sirovina iskazuje dodatnu godišnju tonažu otpada koji se koristi kao sirovina kao rezultat podržanih projekata. Ponovna upotreba otpada odnosi se na sve operacije kojima se proizvodi ili komponente (materijali) koje nisu otpad ponovno upotrebljavaju u istu svrhu za koju su bili zamišljeni. Kružnom obnovom zgrada materijali konstrukcije zgrade upotrebljavaju se ponovno u istu svrhu za koju su bili zamišljeni te se sprječava nastanak </w:t>
      </w:r>
      <w:r>
        <w:t>građevnog</w:t>
      </w:r>
      <w:r>
        <w:rPr>
          <w:lang w:val="hr-HR"/>
        </w:rPr>
        <w:t xml:space="preserve"> otpada u količini koja je ekvivalentna volumenu nerazgrađene konstrukcije zgrade. Prilikom izrade projektne dokumentacije moguće je iskazati volumen (u tonama) postojeće konstrukcije zgrade koja će se zadržati nakon kružne obnove, čije se ostvarenje dokazuje glavnim projektom zgrade i završnim izvješćem nadzornog inženjera kojim se potvrđuje da su radovi kružne obnove izvedeni sukladno glavnom projektu.</w:t>
      </w:r>
      <w:r>
        <w:br w:type="page"/>
      </w:r>
    </w:p>
    <w:p w14:paraId="45D05DE9" w14:textId="77777777" w:rsidR="00496804" w:rsidRDefault="0037359D">
      <w:pPr>
        <w:pStyle w:val="Naslov2"/>
        <w:ind w:left="426" w:hanging="426"/>
        <w:rPr>
          <w:rFonts w:ascii="Times New Roman" w:hAnsi="Times New Roman" w:cs="Times New Roman"/>
          <w:color w:val="auto"/>
          <w:sz w:val="24"/>
          <w:szCs w:val="24"/>
        </w:rPr>
      </w:pPr>
      <w:bookmarkStart w:id="166" w:name="_Toc51851654"/>
      <w:r>
        <w:rPr>
          <w:rFonts w:ascii="Times New Roman" w:hAnsi="Times New Roman" w:cs="Times New Roman"/>
          <w:color w:val="auto"/>
          <w:sz w:val="24"/>
          <w:szCs w:val="24"/>
        </w:rPr>
        <w:lastRenderedPageBreak/>
        <w:t>POKAZATELJI ISHODA POSEBNIH CILJEVA PROGRAMA</w:t>
      </w:r>
      <w:bookmarkEnd w:id="166"/>
    </w:p>
    <w:p w14:paraId="45D05DEA" w14:textId="77777777" w:rsidR="00496804" w:rsidRDefault="00496804">
      <w:pPr>
        <w:pStyle w:val="Bezproreda"/>
        <w:jc w:val="both"/>
        <w:rPr>
          <w:rFonts w:eastAsia="Times New Roman"/>
          <w:lang w:val="hr-HR" w:eastAsia="en-GB"/>
        </w:rPr>
      </w:pPr>
    </w:p>
    <w:p w14:paraId="45D05DEB" w14:textId="77777777" w:rsidR="00496804" w:rsidRDefault="0037359D">
      <w:pPr>
        <w:spacing w:line="240" w:lineRule="auto"/>
        <w:rPr>
          <w:rFonts w:ascii="Times New Roman" w:hAnsi="Times New Roman"/>
          <w:i/>
          <w:iCs/>
          <w:sz w:val="24"/>
        </w:rPr>
      </w:pPr>
      <w:r>
        <w:rPr>
          <w:rFonts w:ascii="Times New Roman" w:hAnsi="Times New Roman"/>
          <w:i/>
          <w:iCs/>
          <w:sz w:val="24"/>
        </w:rPr>
        <w:t>Tablica 15. Prikaz pokazatelja ishoda posebnih ciljeva</w:t>
      </w:r>
    </w:p>
    <w:tbl>
      <w:tblPr>
        <w:tblStyle w:val="Reetkatablice"/>
        <w:tblW w:w="0" w:type="auto"/>
        <w:tblLook w:val="04A0" w:firstRow="1" w:lastRow="0" w:firstColumn="1" w:lastColumn="0" w:noHBand="0" w:noVBand="1"/>
      </w:tblPr>
      <w:tblGrid>
        <w:gridCol w:w="5382"/>
        <w:gridCol w:w="1417"/>
        <w:gridCol w:w="1418"/>
        <w:gridCol w:w="1405"/>
      </w:tblGrid>
      <w:tr w:rsidR="00496804" w14:paraId="45D05DEE" w14:textId="77777777">
        <w:trPr>
          <w:trHeight w:val="930"/>
        </w:trPr>
        <w:tc>
          <w:tcPr>
            <w:tcW w:w="9622" w:type="dxa"/>
            <w:gridSpan w:val="4"/>
            <w:shd w:val="clear" w:color="auto" w:fill="FFCCA6" w:themeFill="accent5" w:themeFillTint="66"/>
            <w:vAlign w:val="center"/>
          </w:tcPr>
          <w:p w14:paraId="45D05DEC"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Strateški cilj NRS 2030: </w:t>
            </w:r>
          </w:p>
          <w:p w14:paraId="45D05DED"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NISKO-UGLJIČNA ENERGETSKA TRANZICIJA I ZAŠTITA OKOLIŠA</w:t>
            </w:r>
          </w:p>
        </w:tc>
      </w:tr>
      <w:tr w:rsidR="00496804" w14:paraId="45D05DF3" w14:textId="77777777">
        <w:trPr>
          <w:trHeight w:val="560"/>
        </w:trPr>
        <w:tc>
          <w:tcPr>
            <w:tcW w:w="5382" w:type="dxa"/>
            <w:vAlign w:val="center"/>
          </w:tcPr>
          <w:p w14:paraId="45D05DEF"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učinka</w:t>
            </w:r>
          </w:p>
        </w:tc>
        <w:tc>
          <w:tcPr>
            <w:tcW w:w="1417" w:type="dxa"/>
            <w:vAlign w:val="center"/>
          </w:tcPr>
          <w:p w14:paraId="45D05DF0"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DF1"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DF2"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DF8" w14:textId="77777777">
        <w:tc>
          <w:tcPr>
            <w:tcW w:w="5382" w:type="dxa"/>
            <w:vAlign w:val="center"/>
          </w:tcPr>
          <w:p w14:paraId="45D05DF4" w14:textId="77777777" w:rsidR="00496804" w:rsidRDefault="0037359D">
            <w:pPr>
              <w:tabs>
                <w:tab w:val="left" w:pos="426"/>
              </w:tabs>
              <w:spacing w:line="240" w:lineRule="auto"/>
              <w:rPr>
                <w:rFonts w:ascii="Times New Roman" w:hAnsi="Times New Roman"/>
                <w:sz w:val="24"/>
              </w:rPr>
            </w:pPr>
            <w:r>
              <w:rPr>
                <w:rFonts w:ascii="Times New Roman" w:hAnsi="Times New Roman"/>
                <w:sz w:val="24"/>
              </w:rPr>
              <w:t>1. Emisije stakleničkih plinova (bazna godina 1990.)</w:t>
            </w:r>
          </w:p>
        </w:tc>
        <w:tc>
          <w:tcPr>
            <w:tcW w:w="1417" w:type="dxa"/>
            <w:vAlign w:val="center"/>
          </w:tcPr>
          <w:p w14:paraId="45D05DF5"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w:t>
            </w:r>
          </w:p>
        </w:tc>
        <w:tc>
          <w:tcPr>
            <w:tcW w:w="1418" w:type="dxa"/>
            <w:vAlign w:val="center"/>
          </w:tcPr>
          <w:p w14:paraId="45D05DF6"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75,20 % (2018.)</w:t>
            </w:r>
          </w:p>
        </w:tc>
        <w:tc>
          <w:tcPr>
            <w:tcW w:w="1405" w:type="dxa"/>
            <w:vAlign w:val="center"/>
          </w:tcPr>
          <w:p w14:paraId="45D05DF7"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65 %</w:t>
            </w:r>
          </w:p>
        </w:tc>
      </w:tr>
      <w:tr w:rsidR="00496804" w14:paraId="45D05DFB" w14:textId="77777777">
        <w:trPr>
          <w:trHeight w:val="845"/>
        </w:trPr>
        <w:tc>
          <w:tcPr>
            <w:tcW w:w="9622" w:type="dxa"/>
            <w:gridSpan w:val="4"/>
            <w:shd w:val="clear" w:color="auto" w:fill="FFCCA6" w:themeFill="accent5" w:themeFillTint="66"/>
            <w:vAlign w:val="center"/>
          </w:tcPr>
          <w:p w14:paraId="45D05DF9"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1: </w:t>
            </w:r>
          </w:p>
          <w:p w14:paraId="45D05DFA"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 xml:space="preserve">RAZVOJ SUSTAVA KRUŽNOG GOSPODARENJA PROSTOROM I ZGRADAMA  </w:t>
            </w:r>
          </w:p>
        </w:tc>
      </w:tr>
      <w:tr w:rsidR="00496804" w14:paraId="45D05E00" w14:textId="77777777">
        <w:trPr>
          <w:trHeight w:val="838"/>
        </w:trPr>
        <w:tc>
          <w:tcPr>
            <w:tcW w:w="5382" w:type="dxa"/>
            <w:vAlign w:val="center"/>
          </w:tcPr>
          <w:p w14:paraId="45D05DFC"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DFD"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DFE"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DFF"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05" w14:textId="77777777">
        <w:tc>
          <w:tcPr>
            <w:tcW w:w="5382" w:type="dxa"/>
            <w:vAlign w:val="center"/>
          </w:tcPr>
          <w:p w14:paraId="45D05E01"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Razvoj digitalnih javnih usluga za kružno gospodarenje prostorom i zgradama</w:t>
            </w:r>
          </w:p>
        </w:tc>
        <w:tc>
          <w:tcPr>
            <w:tcW w:w="1417" w:type="dxa"/>
            <w:vAlign w:val="center"/>
          </w:tcPr>
          <w:p w14:paraId="45D05E02"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03"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04"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2</w:t>
            </w:r>
          </w:p>
        </w:tc>
      </w:tr>
      <w:tr w:rsidR="00496804" w14:paraId="45D05E08" w14:textId="77777777">
        <w:trPr>
          <w:trHeight w:val="859"/>
        </w:trPr>
        <w:tc>
          <w:tcPr>
            <w:tcW w:w="9622" w:type="dxa"/>
            <w:gridSpan w:val="4"/>
            <w:shd w:val="clear" w:color="auto" w:fill="FFCCA6" w:themeFill="accent5" w:themeFillTint="66"/>
            <w:vAlign w:val="center"/>
          </w:tcPr>
          <w:p w14:paraId="45D05E06"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2: </w:t>
            </w:r>
          </w:p>
          <w:p w14:paraId="45D05E07"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KRUŽNA OBNOVA NEKORIŠTENIH PROSTORA I ZGRADA</w:t>
            </w:r>
          </w:p>
        </w:tc>
      </w:tr>
      <w:tr w:rsidR="00496804" w14:paraId="45D05E0D" w14:textId="77777777">
        <w:trPr>
          <w:trHeight w:val="838"/>
        </w:trPr>
        <w:tc>
          <w:tcPr>
            <w:tcW w:w="5382" w:type="dxa"/>
            <w:vAlign w:val="center"/>
          </w:tcPr>
          <w:p w14:paraId="45D05E09"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E0A"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E0B"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E0C"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12" w14:textId="77777777">
        <w:trPr>
          <w:trHeight w:val="607"/>
        </w:trPr>
        <w:tc>
          <w:tcPr>
            <w:tcW w:w="5382" w:type="dxa"/>
            <w:vAlign w:val="center"/>
          </w:tcPr>
          <w:p w14:paraId="45D05E0E"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Kružno obnovljene zgrade u okviru pilot projekata i poziva</w:t>
            </w:r>
          </w:p>
        </w:tc>
        <w:tc>
          <w:tcPr>
            <w:tcW w:w="1417" w:type="dxa"/>
            <w:vAlign w:val="center"/>
          </w:tcPr>
          <w:p w14:paraId="45D05E0F"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10"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11" w14:textId="77777777" w:rsidR="00496804" w:rsidRDefault="0037359D">
            <w:pPr>
              <w:pStyle w:val="Odlomakpopisa"/>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300</w:t>
            </w:r>
          </w:p>
        </w:tc>
      </w:tr>
      <w:tr w:rsidR="00496804" w14:paraId="45D05E15" w14:textId="77777777">
        <w:trPr>
          <w:trHeight w:val="1157"/>
        </w:trPr>
        <w:tc>
          <w:tcPr>
            <w:tcW w:w="9622" w:type="dxa"/>
            <w:gridSpan w:val="4"/>
            <w:shd w:val="clear" w:color="auto" w:fill="FFCCA6" w:themeFill="accent5" w:themeFillTint="66"/>
            <w:vAlign w:val="center"/>
          </w:tcPr>
          <w:p w14:paraId="45D05E13"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3: </w:t>
            </w:r>
          </w:p>
          <w:p w14:paraId="45D05E14"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VISOKA RAZINA ZNANJA I DRUŠTVENE SVIJESTI O KRUŽNOM GOSPODARENJU PROSTOROM I ZGRADAMA</w:t>
            </w:r>
          </w:p>
        </w:tc>
      </w:tr>
      <w:tr w:rsidR="00496804" w14:paraId="45D05E1A" w14:textId="77777777">
        <w:trPr>
          <w:trHeight w:val="838"/>
        </w:trPr>
        <w:tc>
          <w:tcPr>
            <w:tcW w:w="5382" w:type="dxa"/>
            <w:vAlign w:val="center"/>
          </w:tcPr>
          <w:p w14:paraId="45D05E16"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E17"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E18"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E19"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1F" w14:textId="77777777">
        <w:trPr>
          <w:trHeight w:val="70"/>
        </w:trPr>
        <w:tc>
          <w:tcPr>
            <w:tcW w:w="5382" w:type="dxa"/>
            <w:vAlign w:val="center"/>
          </w:tcPr>
          <w:p w14:paraId="45D05E1B"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Stanovništvo koje je imalo izravan doticaj s informacijama o kružnom gospodarenju prostorom i zgradama, kroz objave u stručnim publikacijama, sudjelovanjem na održanim radionicama, konferencijama i sl.</w:t>
            </w:r>
          </w:p>
        </w:tc>
        <w:tc>
          <w:tcPr>
            <w:tcW w:w="1417" w:type="dxa"/>
            <w:vAlign w:val="center"/>
          </w:tcPr>
          <w:p w14:paraId="45D05E1C"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1D"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1E"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10.000</w:t>
            </w:r>
          </w:p>
        </w:tc>
      </w:tr>
    </w:tbl>
    <w:p w14:paraId="45D05E20" w14:textId="77777777" w:rsidR="00496804" w:rsidRDefault="00496804">
      <w:pPr>
        <w:spacing w:line="240" w:lineRule="auto"/>
        <w:rPr>
          <w:rFonts w:ascii="Times New Roman" w:hAnsi="Times New Roman"/>
          <w:sz w:val="24"/>
        </w:rPr>
      </w:pPr>
    </w:p>
    <w:p w14:paraId="45D05E21"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22"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67" w:name="_Toc31287522"/>
      <w:bookmarkStart w:id="168" w:name="_Toc31287673"/>
      <w:bookmarkStart w:id="169" w:name="_Toc31287825"/>
      <w:bookmarkStart w:id="170" w:name="_Toc31287977"/>
      <w:bookmarkStart w:id="171" w:name="_Toc31288129"/>
      <w:bookmarkStart w:id="172" w:name="_Toc31287523"/>
      <w:bookmarkStart w:id="173" w:name="_Toc31287674"/>
      <w:bookmarkStart w:id="174" w:name="_Toc31287826"/>
      <w:bookmarkStart w:id="175" w:name="_Toc31287978"/>
      <w:bookmarkStart w:id="176" w:name="_Toc31288130"/>
      <w:bookmarkStart w:id="177" w:name="_Toc31287524"/>
      <w:bookmarkStart w:id="178" w:name="_Toc31287675"/>
      <w:bookmarkStart w:id="179" w:name="_Toc31287827"/>
      <w:bookmarkStart w:id="180" w:name="_Toc31287979"/>
      <w:bookmarkStart w:id="181" w:name="_Toc31288131"/>
      <w:bookmarkStart w:id="182" w:name="_Toc31287525"/>
      <w:bookmarkStart w:id="183" w:name="_Toc31287676"/>
      <w:bookmarkStart w:id="184" w:name="_Toc31287828"/>
      <w:bookmarkStart w:id="185" w:name="_Toc31287980"/>
      <w:bookmarkStart w:id="186" w:name="_Toc31288132"/>
      <w:bookmarkStart w:id="187" w:name="_Toc31287526"/>
      <w:bookmarkStart w:id="188" w:name="_Toc31287677"/>
      <w:bookmarkStart w:id="189" w:name="_Toc31287829"/>
      <w:bookmarkStart w:id="190" w:name="_Toc31287981"/>
      <w:bookmarkStart w:id="191" w:name="_Toc31288133"/>
      <w:bookmarkStart w:id="192" w:name="_Toc31287527"/>
      <w:bookmarkStart w:id="193" w:name="_Toc31287678"/>
      <w:bookmarkStart w:id="194" w:name="_Toc31287830"/>
      <w:bookmarkStart w:id="195" w:name="_Toc31287982"/>
      <w:bookmarkStart w:id="196" w:name="_Toc31288134"/>
      <w:bookmarkStart w:id="197" w:name="_Toc31287528"/>
      <w:bookmarkStart w:id="198" w:name="_Toc31287679"/>
      <w:bookmarkStart w:id="199" w:name="_Toc31287831"/>
      <w:bookmarkStart w:id="200" w:name="_Toc31287983"/>
      <w:bookmarkStart w:id="201" w:name="_Toc31288135"/>
      <w:bookmarkStart w:id="202" w:name="_Toc31287529"/>
      <w:bookmarkStart w:id="203" w:name="_Toc31287680"/>
      <w:bookmarkStart w:id="204" w:name="_Toc31287832"/>
      <w:bookmarkStart w:id="205" w:name="_Toc31287984"/>
      <w:bookmarkStart w:id="206" w:name="_Toc31288136"/>
      <w:bookmarkStart w:id="207" w:name="_Toc31287530"/>
      <w:bookmarkStart w:id="208" w:name="_Toc31287681"/>
      <w:bookmarkStart w:id="209" w:name="_Toc31287833"/>
      <w:bookmarkStart w:id="210" w:name="_Toc31287985"/>
      <w:bookmarkStart w:id="211" w:name="_Toc31288137"/>
      <w:bookmarkStart w:id="212" w:name="_Toc31287538"/>
      <w:bookmarkStart w:id="213" w:name="_Toc31287689"/>
      <w:bookmarkStart w:id="214" w:name="_Toc31287841"/>
      <w:bookmarkStart w:id="215" w:name="_Toc31287993"/>
      <w:bookmarkStart w:id="216" w:name="_Toc31288145"/>
      <w:bookmarkStart w:id="217" w:name="_Toc5185165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ascii="Times New Roman" w:hAnsi="Times New Roman" w:cs="Times New Roman"/>
          <w:sz w:val="24"/>
          <w:szCs w:val="24"/>
        </w:rPr>
        <w:lastRenderedPageBreak/>
        <w:t>RAZVOJNE MJERE</w:t>
      </w:r>
      <w:bookmarkEnd w:id="217"/>
    </w:p>
    <w:p w14:paraId="45D05E23" w14:textId="77777777" w:rsidR="00496804" w:rsidRDefault="00496804">
      <w:pPr>
        <w:pStyle w:val="tekst"/>
        <w:spacing w:line="240" w:lineRule="auto"/>
        <w:rPr>
          <w:rFonts w:ascii="Times New Roman" w:hAnsi="Times New Roman" w:cs="Times New Roman"/>
          <w:b/>
          <w:bCs/>
          <w:sz w:val="24"/>
          <w:szCs w:val="24"/>
        </w:rPr>
      </w:pPr>
    </w:p>
    <w:p w14:paraId="45D05E24" w14:textId="77777777" w:rsidR="00496804" w:rsidRDefault="0037359D">
      <w:pPr>
        <w:shd w:val="clear" w:color="auto" w:fill="FFCCA6" w:themeFill="accent5" w:themeFillTint="66"/>
        <w:spacing w:line="240" w:lineRule="auto"/>
        <w:ind w:left="1985" w:hanging="1985"/>
        <w:rPr>
          <w:rFonts w:ascii="Times New Roman" w:hAnsi="Times New Roman"/>
          <w:b/>
          <w:bCs/>
          <w:sz w:val="24"/>
        </w:rPr>
      </w:pPr>
      <w:r>
        <w:rPr>
          <w:rFonts w:ascii="Times New Roman" w:hAnsi="Times New Roman"/>
          <w:b/>
          <w:bCs/>
          <w:sz w:val="24"/>
          <w:lang w:eastAsia="hr-HR"/>
        </w:rPr>
        <w:t>POSEBNI CILJ 1.</w:t>
      </w:r>
      <w:r>
        <w:rPr>
          <w:rFonts w:ascii="Times New Roman" w:hAnsi="Times New Roman"/>
          <w:b/>
          <w:bCs/>
          <w:sz w:val="24"/>
          <w:lang w:eastAsia="hr-HR"/>
        </w:rPr>
        <w:tab/>
        <w:t>RAZVOJ SUSTAVA KRUŽNOG GOSPODARENJA PROSTOROM I ZGRADAMA</w:t>
      </w:r>
    </w:p>
    <w:p w14:paraId="45D05E25" w14:textId="77777777" w:rsidR="00496804" w:rsidRDefault="00496804">
      <w:pPr>
        <w:pStyle w:val="tekst"/>
        <w:spacing w:line="240" w:lineRule="auto"/>
        <w:rPr>
          <w:rFonts w:ascii="Times New Roman" w:hAnsi="Times New Roman" w:cs="Times New Roman"/>
          <w:b/>
          <w:bCs/>
          <w:sz w:val="24"/>
          <w:szCs w:val="24"/>
        </w:rPr>
      </w:pPr>
    </w:p>
    <w:p w14:paraId="45D05E26"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1.1. </w:t>
      </w:r>
    </w:p>
    <w:p w14:paraId="45D05E27"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Evidentiranje podataka kružnog gospodarenja prostorom i zgradama u RH</w:t>
      </w:r>
    </w:p>
    <w:p w14:paraId="45D05E28" w14:textId="77777777" w:rsidR="00496804" w:rsidRDefault="00496804">
      <w:pPr>
        <w:pStyle w:val="tekst"/>
        <w:spacing w:line="240" w:lineRule="auto"/>
        <w:rPr>
          <w:rFonts w:ascii="Times New Roman" w:hAnsi="Times New Roman" w:cs="Times New Roman"/>
          <w:sz w:val="24"/>
          <w:szCs w:val="24"/>
        </w:rPr>
      </w:pPr>
    </w:p>
    <w:p w14:paraId="45D05E29" w14:textId="421900ED" w:rsidR="00496804" w:rsidRDefault="0037359D">
      <w:pPr>
        <w:pStyle w:val="tekst"/>
        <w:spacing w:line="240" w:lineRule="auto"/>
        <w:rPr>
          <w:rFonts w:ascii="Times New Roman" w:hAnsi="Times New Roman"/>
          <w:sz w:val="24"/>
        </w:rPr>
      </w:pPr>
      <w:r>
        <w:rPr>
          <w:rFonts w:ascii="Times New Roman" w:hAnsi="Times New Roman"/>
          <w:sz w:val="24"/>
        </w:rPr>
        <w:t>Kako bi se mogli izraditi strateški i planski dokumenti, potrebno je utvrditi početno stanje kružnog gospodarenja prostorom i zgradama u gradovima i općinama u RH</w:t>
      </w:r>
      <w:r w:rsidR="00915644">
        <w:rPr>
          <w:rFonts w:ascii="Times New Roman" w:hAnsi="Times New Roman"/>
          <w:sz w:val="24"/>
        </w:rPr>
        <w:t>,</w:t>
      </w:r>
      <w:r>
        <w:rPr>
          <w:rFonts w:ascii="Times New Roman" w:hAnsi="Times New Roman"/>
          <w:sz w:val="24"/>
        </w:rPr>
        <w:t xml:space="preserve"> temeljem čega će se odrediti modeli planiranja, projektiranja, gradnje, održavanja, rekonstrukcije, obnove prostora i zgrada kod kojih se primjenjuje model kružnog gospodarenja. Izazov predstavlja nedostupnost svih potrebnih podataka s obzirom na to da trenutno ne postoje potpuni i relevantni brojčani i/ili grafički podaci na području RH. Dobiveni podaci će poslužiti za izradu zajedničke metodologije i smjernica za kružno gospodarenje prostorom i zgradama te ujedno za izradu baze podataka i uspostavu računalnog rješenja za praćenje stanja, bilo nadogradnjom Registra brownfield područja potrebnim funkcionalnostima i/ili izradom novog modula unutar ISPU.</w:t>
      </w:r>
    </w:p>
    <w:p w14:paraId="45D05E2A" w14:textId="77777777" w:rsidR="00496804" w:rsidRDefault="00496804">
      <w:pPr>
        <w:tabs>
          <w:tab w:val="left" w:pos="426"/>
        </w:tabs>
        <w:spacing w:line="240" w:lineRule="auto"/>
        <w:ind w:left="709" w:hanging="709"/>
        <w:rPr>
          <w:rFonts w:ascii="Times New Roman" w:hAnsi="Times New Roman"/>
          <w:sz w:val="24"/>
        </w:rPr>
      </w:pPr>
    </w:p>
    <w:p w14:paraId="45D05E2B"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2C"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projektnog zadatka za izradu analize postojećeg stanja nekorištenih prostora i zgrada u RH</w:t>
      </w:r>
    </w:p>
    <w:p w14:paraId="45D05E2D"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analize/studije postojećeg stanja nekorištenih prostora i zgrada u RH</w:t>
      </w:r>
    </w:p>
    <w:p w14:paraId="45D05E2E"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Stručni nadzor nad izradom analize/studije postojećeg stanja nekorištenih prostora i zgrada u RH </w:t>
      </w:r>
    </w:p>
    <w:p w14:paraId="45D05E2F"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Izrada projektnog zadatka za izradu računalnog rješenja za mapiranje postojećeg stanja (evidentiranje postojećeg stanja nekorištenih prostora i zgrada) i praćenje razvoja kružnog gospodarenja prostorom i zgradama, kroz nadogradnju ISPU modula potrebnim funkcionalnostima (Registar brownfield područja) te prema potrebi izradu novog ISPU modula </w:t>
      </w:r>
    </w:p>
    <w:p w14:paraId="45D05E30"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računalnog rješenja za mapiranje postojećeg stanja i praćenje razvoja kružnog gospodarenja prostorom i zgradama</w:t>
      </w:r>
    </w:p>
    <w:p w14:paraId="45D05E31"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Stručni nadzor nad izradom računalnog rješenja za mapiranje postojećeg stanja i praćenje razvoja kružnog gospodarenja prostorom i zgradama</w:t>
      </w:r>
    </w:p>
    <w:p w14:paraId="45D05E32"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Definiranje obveznika unosa, njihovih uloga i edukacija djelatnika zaduženih za unošenje podataka o kružnom gospodarenju prostorom i zgradama u ISPU </w:t>
      </w:r>
    </w:p>
    <w:p w14:paraId="45D05E33"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Izrada projektnog zadatka za izradu i popunjavanje baze podataka (evidentiranje i mapiranje) kružnog gospodarenja prostorom i zgradama </w:t>
      </w:r>
    </w:p>
    <w:p w14:paraId="45D05E34"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i popunjavanje baze podataka (evidentiranje i mapiranje) kružnog gospodarenja prostorom i zgradama – utvrđivanje postojećeg stanja i praćenje razvoja kružnog gospodarenja prostorom i zgradama</w:t>
      </w:r>
    </w:p>
    <w:p w14:paraId="45D05E35" w14:textId="77777777" w:rsidR="00496804" w:rsidRDefault="00496804">
      <w:pPr>
        <w:spacing w:line="240" w:lineRule="auto"/>
        <w:jc w:val="left"/>
        <w:rPr>
          <w:rFonts w:ascii="Times New Roman" w:hAnsi="Times New Roman"/>
          <w:sz w:val="24"/>
          <w:lang w:eastAsia="hr-HR"/>
        </w:rPr>
      </w:pPr>
    </w:p>
    <w:p w14:paraId="45D05E36" w14:textId="77777777" w:rsidR="00496804" w:rsidRDefault="00496804">
      <w:pPr>
        <w:pStyle w:val="tekst"/>
        <w:spacing w:line="240" w:lineRule="auto"/>
        <w:rPr>
          <w:rFonts w:ascii="Times New Roman" w:hAnsi="Times New Roman" w:cs="Times New Roman"/>
          <w:sz w:val="24"/>
          <w:szCs w:val="24"/>
        </w:rPr>
      </w:pPr>
    </w:p>
    <w:p w14:paraId="45D05E37" w14:textId="77777777" w:rsidR="00496804" w:rsidRDefault="0037359D">
      <w:pPr>
        <w:spacing w:line="240" w:lineRule="auto"/>
        <w:rPr>
          <w:rFonts w:ascii="Times New Roman" w:hAnsi="Times New Roman"/>
          <w:sz w:val="24"/>
        </w:rPr>
      </w:pPr>
      <w:r>
        <w:rPr>
          <w:rFonts w:ascii="Times New Roman" w:hAnsi="Times New Roman"/>
          <w:i/>
          <w:iCs/>
          <w:sz w:val="24"/>
        </w:rPr>
        <w:t>Tablica 16. Prikaz pokazatelja rezultata provedbe mjere 1.1.</w:t>
      </w:r>
    </w:p>
    <w:tbl>
      <w:tblPr>
        <w:tblStyle w:val="Reetkatablice13"/>
        <w:tblW w:w="0" w:type="auto"/>
        <w:tblLook w:val="04A0" w:firstRow="1" w:lastRow="0" w:firstColumn="1" w:lastColumn="0" w:noHBand="0" w:noVBand="1"/>
      </w:tblPr>
      <w:tblGrid>
        <w:gridCol w:w="4520"/>
        <w:gridCol w:w="1414"/>
        <w:gridCol w:w="1702"/>
        <w:gridCol w:w="1986"/>
      </w:tblGrid>
      <w:tr w:rsidR="00496804" w14:paraId="45D05E3C" w14:textId="77777777">
        <w:tc>
          <w:tcPr>
            <w:tcW w:w="4520" w:type="dxa"/>
            <w:shd w:val="clear" w:color="auto" w:fill="FFCCA6" w:themeFill="accent5" w:themeFillTint="66"/>
          </w:tcPr>
          <w:p w14:paraId="45D05E38" w14:textId="77777777" w:rsidR="00496804" w:rsidRDefault="0037359D">
            <w:pPr>
              <w:tabs>
                <w:tab w:val="left" w:pos="426"/>
              </w:tabs>
              <w:spacing w:before="240" w:after="200" w:line="240" w:lineRule="auto"/>
              <w:rPr>
                <w:rFonts w:ascii="Times New Roman" w:eastAsia="Calibri" w:hAnsi="Times New Roman"/>
                <w:b/>
                <w:bCs/>
                <w:sz w:val="24"/>
                <w:lang w:eastAsia="en-US"/>
              </w:rPr>
            </w:pPr>
            <w:bookmarkStart w:id="218" w:name="_Hlk36712088"/>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3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tcPr>
          <w:p w14:paraId="45D05E3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3B"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41" w14:textId="77777777">
        <w:tc>
          <w:tcPr>
            <w:tcW w:w="4520" w:type="dxa"/>
            <w:vAlign w:val="center"/>
          </w:tcPr>
          <w:p w14:paraId="45D05E3D"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Izrađena nacionalna baza podataka kružnog gospodarenja prostorom i zgradama u RH</w:t>
            </w:r>
          </w:p>
        </w:tc>
        <w:tc>
          <w:tcPr>
            <w:tcW w:w="1414" w:type="dxa"/>
            <w:vAlign w:val="center"/>
          </w:tcPr>
          <w:p w14:paraId="45D05E3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tcPr>
          <w:p w14:paraId="45D05E3F"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40"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w:t>
            </w:r>
          </w:p>
        </w:tc>
      </w:tr>
    </w:tbl>
    <w:bookmarkEnd w:id="218"/>
    <w:p w14:paraId="45D05E43"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1.2. </w:t>
      </w:r>
    </w:p>
    <w:p w14:paraId="45D05E44"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Osiguranje preduvjeta za razvoj kružnog gospodarenja prostorom i zgradama</w:t>
      </w:r>
    </w:p>
    <w:p w14:paraId="45D05E45" w14:textId="77777777" w:rsidR="00496804" w:rsidRDefault="00496804">
      <w:pPr>
        <w:pStyle w:val="tekst"/>
        <w:spacing w:line="240" w:lineRule="auto"/>
        <w:rPr>
          <w:rFonts w:ascii="Times New Roman" w:hAnsi="Times New Roman" w:cs="Times New Roman"/>
          <w:sz w:val="24"/>
          <w:szCs w:val="24"/>
        </w:rPr>
      </w:pPr>
    </w:p>
    <w:p w14:paraId="45D05E46"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Kako bi se stvorili temeljni preduvjeti za razvoj kružnog gospodarenja prostorom i zgradama i potakla ulaganja na svim razinama, potrebno je utvrditi smjernice za planiranje prostora na načelima kružnog gospodarenja, smjernice za projektiranje, gradnju i održavanje zgrada na načelima kružnog gospodarenja te metodologiju i smjernice analize ugljičnog otiska zgrade. Mjera je usmjerena i na razvoj metodologije koja će poslužiti prilikom utvrđivanja potreba i mogućnosti kružne obnove nekorištenih prostora i zgrada i smjernica za kružnu obnovu. Pritom će se fokus staviti na utvrđivanje potreba i interesa lokalne zajednice, RH i privatnih investitora za revitalizaciju nekretnina u fazi definiranja mogućnosti revitalizacije.</w:t>
      </w:r>
    </w:p>
    <w:p w14:paraId="45D05E47" w14:textId="77777777" w:rsidR="00496804" w:rsidRDefault="00496804">
      <w:pPr>
        <w:pStyle w:val="tekst"/>
        <w:spacing w:line="240" w:lineRule="auto"/>
        <w:rPr>
          <w:rFonts w:ascii="Times New Roman" w:hAnsi="Times New Roman" w:cs="Times New Roman"/>
          <w:sz w:val="24"/>
          <w:szCs w:val="24"/>
        </w:rPr>
      </w:pPr>
    </w:p>
    <w:p w14:paraId="45D05E4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49"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smjernica za planiranje prostora na načelima kružnog gospodarenja</w:t>
      </w:r>
    </w:p>
    <w:p w14:paraId="45D05E4A"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smjernica za planiranje prostora na načelima kružnog gospodarenja</w:t>
      </w:r>
    </w:p>
    <w:p w14:paraId="45D05E4B"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smjernica za planiranje prostora na načelima kružnog gospodarenja</w:t>
      </w:r>
    </w:p>
    <w:p w14:paraId="45D05E4C"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smjernica za projektiranje, gradnju i održavanje zgrada na načelima kružnog gospodarenja</w:t>
      </w:r>
    </w:p>
    <w:p w14:paraId="45D05E4D"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smjernica za projektiranje, gradnju i održavanje zgrada na načelima kružnog gospodarenja</w:t>
      </w:r>
    </w:p>
    <w:p w14:paraId="45D05E4E"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smjernica za projektiranje, gradnju i održavanje zgrada na načelima kružnog gospodarenja</w:t>
      </w:r>
    </w:p>
    <w:p w14:paraId="45D05E4F"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metodologije i smjernica kružne obnove različitih tipologija nekorištenih prostora i zgrada</w:t>
      </w:r>
    </w:p>
    <w:p w14:paraId="45D05E50"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metodologije i smjernica kružne obnove različitih tipologija nekorištenih prostora i zgrada (npr. nekorištene zgrade, monofunkcionalne zone napuštenih prostora i zgrada, polifunkcionalne zone napuštenih prostora i zgrada)</w:t>
      </w:r>
    </w:p>
    <w:p w14:paraId="45D05E51"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metodologije i smjernica kružne obnove različitih tipologija nekorištenih prostora i zgrada</w:t>
      </w:r>
    </w:p>
    <w:p w14:paraId="45D05E52"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metodologije i smjernica analize ugljičnog otiska</w:t>
      </w:r>
    </w:p>
    <w:p w14:paraId="45D05E53"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metodologije i smjernica analize ugljičnog otiska</w:t>
      </w:r>
    </w:p>
    <w:p w14:paraId="45D05E54"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 izradom metodologije i smjernica analize ugljičnog otiska</w:t>
      </w:r>
    </w:p>
    <w:p w14:paraId="45D05E55" w14:textId="77777777" w:rsidR="00496804" w:rsidRDefault="00496804">
      <w:pPr>
        <w:spacing w:line="240" w:lineRule="auto"/>
        <w:rPr>
          <w:rFonts w:ascii="Times New Roman" w:hAnsi="Times New Roman"/>
          <w:bCs/>
          <w:sz w:val="24"/>
        </w:rPr>
      </w:pPr>
    </w:p>
    <w:p w14:paraId="45D05E56" w14:textId="77777777" w:rsidR="00496804" w:rsidRDefault="0037359D">
      <w:pPr>
        <w:spacing w:line="240" w:lineRule="auto"/>
        <w:rPr>
          <w:rFonts w:ascii="Times New Roman" w:hAnsi="Times New Roman"/>
          <w:sz w:val="24"/>
        </w:rPr>
      </w:pPr>
      <w:r>
        <w:rPr>
          <w:rFonts w:ascii="Times New Roman" w:hAnsi="Times New Roman"/>
          <w:i/>
          <w:iCs/>
          <w:sz w:val="24"/>
        </w:rPr>
        <w:t>Tablica 17. Prikaz pokazatelja rezultata provedbe mjere 1.2.</w:t>
      </w:r>
    </w:p>
    <w:tbl>
      <w:tblPr>
        <w:tblStyle w:val="Reetkatablice14"/>
        <w:tblW w:w="0" w:type="auto"/>
        <w:tblLook w:val="04A0" w:firstRow="1" w:lastRow="0" w:firstColumn="1" w:lastColumn="0" w:noHBand="0" w:noVBand="1"/>
      </w:tblPr>
      <w:tblGrid>
        <w:gridCol w:w="4520"/>
        <w:gridCol w:w="1414"/>
        <w:gridCol w:w="1702"/>
        <w:gridCol w:w="1986"/>
      </w:tblGrid>
      <w:tr w:rsidR="00496804" w14:paraId="45D05E5B" w14:textId="77777777">
        <w:tc>
          <w:tcPr>
            <w:tcW w:w="4520" w:type="dxa"/>
            <w:shd w:val="clear" w:color="auto" w:fill="FFCCA6" w:themeFill="accent5" w:themeFillTint="66"/>
          </w:tcPr>
          <w:p w14:paraId="45D05E57"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vAlign w:val="center"/>
          </w:tcPr>
          <w:p w14:paraId="45D05E5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5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vAlign w:val="center"/>
          </w:tcPr>
          <w:p w14:paraId="45D05E5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60" w14:textId="77777777">
        <w:tc>
          <w:tcPr>
            <w:tcW w:w="4520" w:type="dxa"/>
            <w:vAlign w:val="center"/>
          </w:tcPr>
          <w:p w14:paraId="45D05E5C" w14:textId="77777777" w:rsidR="00496804" w:rsidRDefault="0037359D">
            <w:pPr>
              <w:spacing w:before="120" w:after="120" w:line="240" w:lineRule="auto"/>
              <w:jc w:val="left"/>
              <w:rPr>
                <w:rFonts w:ascii="Times New Roman" w:eastAsia="Calibri" w:hAnsi="Times New Roman"/>
                <w:strike/>
                <w:sz w:val="24"/>
                <w:lang w:eastAsia="en-US"/>
              </w:rPr>
            </w:pPr>
            <w:r>
              <w:rPr>
                <w:rFonts w:ascii="Times New Roman" w:eastAsia="Calibri" w:hAnsi="Times New Roman"/>
                <w:sz w:val="24"/>
                <w:lang w:eastAsia="en-US"/>
              </w:rPr>
              <w:t>Izrađeni dokumenti kojima se definiraju metodologije i smjernice za razvoj kružnog gospodarenja prostorom i zgradama</w:t>
            </w:r>
          </w:p>
        </w:tc>
        <w:tc>
          <w:tcPr>
            <w:tcW w:w="1414" w:type="dxa"/>
            <w:vAlign w:val="center"/>
          </w:tcPr>
          <w:p w14:paraId="45D05E5D"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5E" w14:textId="77777777" w:rsidR="00496804" w:rsidRDefault="0037359D">
            <w:pPr>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5F" w14:textId="77777777" w:rsidR="00496804" w:rsidRDefault="0037359D">
            <w:pPr>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4</w:t>
            </w:r>
          </w:p>
        </w:tc>
      </w:tr>
    </w:tbl>
    <w:p w14:paraId="45D05E61" w14:textId="77777777" w:rsidR="00496804" w:rsidRDefault="00496804">
      <w:pPr>
        <w:spacing w:line="240" w:lineRule="auto"/>
        <w:rPr>
          <w:rFonts w:ascii="Times New Roman" w:hAnsi="Times New Roman"/>
          <w:sz w:val="24"/>
        </w:rPr>
      </w:pPr>
    </w:p>
    <w:p w14:paraId="45D05E62"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63"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MJERA 1.3. </w:t>
      </w:r>
    </w:p>
    <w:p w14:paraId="45D05E64"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Izrada strateških dokumenata razvoja kružnog gospodarenja prostorom i zgradama</w:t>
      </w:r>
    </w:p>
    <w:p w14:paraId="45D05E65" w14:textId="77777777" w:rsidR="00496804" w:rsidRDefault="00496804">
      <w:pPr>
        <w:pStyle w:val="tekst"/>
        <w:spacing w:line="240" w:lineRule="auto"/>
        <w:rPr>
          <w:rFonts w:ascii="Times New Roman" w:hAnsi="Times New Roman" w:cs="Times New Roman"/>
          <w:sz w:val="24"/>
          <w:szCs w:val="24"/>
        </w:rPr>
      </w:pPr>
    </w:p>
    <w:p w14:paraId="45D05E66"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Dobro upravljanje i provedbu kružnog gospodarenja prostorom i zgradama moguće je ostvariti uz potporu dobro definiranih dokumenata u obliku zakonskih i strateških okvira. Potrebno je kontinuirano pratiti izmjene i dopune EU strateškog i regulatornog okvira i prema njemu usklađivati nacionalni okvir kako bi se osigurala nesmetana i uspješna provedba. Istovremeno, potrebno je razvijati strateške dokumente na lokalnoj i regionalnoj razini, kao i poticati izradu novih ili izmjenu i dopunu postojećih planova kružnog gospodarenja prostorom i zgradama.</w:t>
      </w:r>
    </w:p>
    <w:p w14:paraId="45D05E67" w14:textId="77777777" w:rsidR="00496804" w:rsidRDefault="00496804">
      <w:pPr>
        <w:pStyle w:val="tekst"/>
        <w:spacing w:line="240" w:lineRule="auto"/>
        <w:rPr>
          <w:rFonts w:ascii="Times New Roman" w:hAnsi="Times New Roman" w:cs="Times New Roman"/>
          <w:sz w:val="24"/>
          <w:szCs w:val="24"/>
        </w:rPr>
      </w:pPr>
    </w:p>
    <w:p w14:paraId="45D05E6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69"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 xml:space="preserve">Izrada projektnog zadatka za izradu metodologije evaluacije provedbe Programa razvoja KG </w:t>
      </w:r>
    </w:p>
    <w:p w14:paraId="45D05E6A"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metodologije za evaluaciju provedbe Programa razvoja KG</w:t>
      </w:r>
    </w:p>
    <w:p w14:paraId="45D05E6B"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 xml:space="preserve">Evaluacija provedbe Programa razvoja KG </w:t>
      </w:r>
    </w:p>
    <w:p w14:paraId="45D05E6C"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evaluacijom provedbe Programa razvoja KG</w:t>
      </w:r>
    </w:p>
    <w:p w14:paraId="45D05E6D"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projektnog zadatka za izradu izmjena i dopuna Programa razvoja KG sukladno rezultatima evaluacije provedbe Programa</w:t>
      </w:r>
    </w:p>
    <w:p w14:paraId="45D05E6E"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izmjena i dopuna Programa razvoja KG sukladno rezultatima evaluacije provedbe Programa</w:t>
      </w:r>
    </w:p>
    <w:p w14:paraId="45D05E6F"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izradom izmjena i dopuna Programa razvoja KG</w:t>
      </w:r>
    </w:p>
    <w:p w14:paraId="45D05E70"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projektnog zadatka za izradu priručnika za izradu novih ili izmjenu i dopunu postojećih studija, strategija i/ili planova kružnog gospodarenja prostorom i zgradama na lokalnoj i regionalnoj razini</w:t>
      </w:r>
    </w:p>
    <w:p w14:paraId="45D05E71"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priručnika za izradu novih ili izmjenu i dopunu postojećih studija, strategija i/ili planova kružnog gospodarenja prostorom i zgradama na lokalnoj i regionalnoj razini</w:t>
      </w:r>
    </w:p>
    <w:p w14:paraId="45D05E72"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izradom priručnika za izradu novih ili izmjenu i dopunu postojećih studija, strategija i/ili planova kružnog gospodarenja prostorom i zgradama na lokalnoj i regionalnoj razini</w:t>
      </w:r>
    </w:p>
    <w:p w14:paraId="45D05E73"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Poticanje izrade novih ili izmjene i dopune postojećih studija, strategija i/ili planova kružnog gospodarenja prostorom i zgradama na lokalnoj i regionalnoj razini</w:t>
      </w:r>
    </w:p>
    <w:p w14:paraId="45D05E74" w14:textId="77777777" w:rsidR="00496804" w:rsidRDefault="00496804">
      <w:pPr>
        <w:spacing w:line="240" w:lineRule="auto"/>
        <w:ind w:left="851" w:hanging="851"/>
        <w:rPr>
          <w:rFonts w:ascii="Times New Roman" w:hAnsi="Times New Roman"/>
          <w:sz w:val="24"/>
        </w:rPr>
      </w:pPr>
    </w:p>
    <w:p w14:paraId="45D05E75" w14:textId="77777777" w:rsidR="00496804" w:rsidRDefault="0037359D">
      <w:pPr>
        <w:spacing w:line="240" w:lineRule="auto"/>
        <w:rPr>
          <w:rFonts w:ascii="Times New Roman" w:hAnsi="Times New Roman"/>
          <w:sz w:val="24"/>
        </w:rPr>
      </w:pPr>
      <w:r>
        <w:rPr>
          <w:rFonts w:ascii="Times New Roman" w:hAnsi="Times New Roman"/>
          <w:i/>
          <w:iCs/>
          <w:sz w:val="24"/>
        </w:rPr>
        <w:t>Tablica 18. Prikaz pokazatelja rezultata provedbe mjere 1.3.</w:t>
      </w:r>
    </w:p>
    <w:tbl>
      <w:tblPr>
        <w:tblStyle w:val="Reetkatablice12"/>
        <w:tblW w:w="0" w:type="auto"/>
        <w:tblLook w:val="04A0" w:firstRow="1" w:lastRow="0" w:firstColumn="1" w:lastColumn="0" w:noHBand="0" w:noVBand="1"/>
      </w:tblPr>
      <w:tblGrid>
        <w:gridCol w:w="4520"/>
        <w:gridCol w:w="1414"/>
        <w:gridCol w:w="1702"/>
        <w:gridCol w:w="1986"/>
      </w:tblGrid>
      <w:tr w:rsidR="00496804" w14:paraId="45D05E7A" w14:textId="77777777">
        <w:tc>
          <w:tcPr>
            <w:tcW w:w="4520" w:type="dxa"/>
            <w:shd w:val="clear" w:color="auto" w:fill="FFCCA6" w:themeFill="accent5" w:themeFillTint="66"/>
          </w:tcPr>
          <w:p w14:paraId="45D05E76"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7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tcPr>
          <w:p w14:paraId="45D05E7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7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7F" w14:textId="77777777">
        <w:tc>
          <w:tcPr>
            <w:tcW w:w="4520" w:type="dxa"/>
            <w:vAlign w:val="center"/>
          </w:tcPr>
          <w:p w14:paraId="45D05E7B"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Izrađeni strateški dokumenti razvoja kružnog gospodarenja prostorom i zgradama</w:t>
            </w:r>
          </w:p>
        </w:tc>
        <w:tc>
          <w:tcPr>
            <w:tcW w:w="1414" w:type="dxa"/>
            <w:vAlign w:val="center"/>
          </w:tcPr>
          <w:p w14:paraId="45D05E7C"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tcPr>
          <w:p w14:paraId="45D05E7D"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7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w:t>
            </w:r>
          </w:p>
        </w:tc>
      </w:tr>
    </w:tbl>
    <w:p w14:paraId="45D05E80" w14:textId="77777777" w:rsidR="00496804" w:rsidRDefault="00496804">
      <w:pPr>
        <w:spacing w:line="240" w:lineRule="auto"/>
        <w:rPr>
          <w:rFonts w:ascii="Times New Roman" w:hAnsi="Times New Roman"/>
          <w:sz w:val="24"/>
        </w:rPr>
      </w:pPr>
    </w:p>
    <w:p w14:paraId="45D05E81"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82"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MJERA 1.4. </w:t>
      </w:r>
    </w:p>
    <w:p w14:paraId="45D05E83" w14:textId="77777777" w:rsidR="00496804" w:rsidRDefault="0037359D">
      <w:pPr>
        <w:pBdr>
          <w:bottom w:val="single" w:sz="4" w:space="1" w:color="auto"/>
        </w:pBdr>
        <w:spacing w:line="240" w:lineRule="auto"/>
        <w:rPr>
          <w:rFonts w:ascii="Times New Roman" w:hAnsi="Times New Roman"/>
          <w:sz w:val="24"/>
        </w:rPr>
      </w:pPr>
      <w:r>
        <w:rPr>
          <w:rFonts w:ascii="Times New Roman" w:hAnsi="Times New Roman"/>
          <w:b/>
          <w:bCs/>
          <w:sz w:val="24"/>
        </w:rPr>
        <w:t>Razvoj i izrada digitalne baze projekata</w:t>
      </w:r>
    </w:p>
    <w:p w14:paraId="45D05E84" w14:textId="77777777" w:rsidR="00496804" w:rsidRDefault="00496804">
      <w:pPr>
        <w:spacing w:line="240" w:lineRule="auto"/>
        <w:rPr>
          <w:rFonts w:ascii="Times New Roman" w:hAnsi="Times New Roman"/>
          <w:sz w:val="24"/>
        </w:rPr>
      </w:pPr>
    </w:p>
    <w:p w14:paraId="45D05E85" w14:textId="7EE6345B" w:rsidR="00496804" w:rsidRDefault="0037359D">
      <w:pPr>
        <w:spacing w:line="240" w:lineRule="auto"/>
        <w:rPr>
          <w:rFonts w:ascii="Times New Roman" w:hAnsi="Times New Roman"/>
          <w:sz w:val="24"/>
        </w:rPr>
      </w:pPr>
      <w:r>
        <w:rPr>
          <w:rFonts w:ascii="Times New Roman" w:hAnsi="Times New Roman"/>
          <w:sz w:val="24"/>
        </w:rPr>
        <w:t>Važne odrednice dobrog sustava kružnog gospodarenja prostorom i zgradama i provedbe ovog</w:t>
      </w:r>
      <w:r w:rsidR="007B2D55">
        <w:rPr>
          <w:rFonts w:ascii="Times New Roman" w:hAnsi="Times New Roman"/>
          <w:sz w:val="24"/>
        </w:rPr>
        <w:t>a</w:t>
      </w:r>
      <w:r>
        <w:rPr>
          <w:rFonts w:ascii="Times New Roman" w:hAnsi="Times New Roman"/>
          <w:sz w:val="24"/>
        </w:rPr>
        <w:t xml:space="preserve"> Programa su kvaliteta i dostupnost podataka koji omogućuju praćenje planiranih i projekata u provedbi te praćenje i analizu pokazatelja kružnog gospodarenja. Zbog toga je potrebno dati posebnu pozornost razvoju i uređivanju baza podataka. Razvoj digitalnih baza podataka koje bi bile dostupne javnosti te pogodne za razmjenu između informacijskih sustava zasigurno može doprinijeti boljem informiranju i uključenosti dionika u proces kružnog gospodarenja prostora i zgrada. Putem ove mjere nastoji se ujedno pratiti učinak postignutih rezultata provedenih projekata. </w:t>
      </w:r>
    </w:p>
    <w:p w14:paraId="45D05E86" w14:textId="77777777" w:rsidR="00496804" w:rsidRDefault="00496804">
      <w:pPr>
        <w:spacing w:line="240" w:lineRule="auto"/>
        <w:rPr>
          <w:rFonts w:ascii="Times New Roman" w:hAnsi="Times New Roman"/>
          <w:sz w:val="24"/>
        </w:rPr>
      </w:pPr>
    </w:p>
    <w:p w14:paraId="45D05E87" w14:textId="77777777" w:rsidR="00496804" w:rsidRDefault="0037359D">
      <w:pPr>
        <w:spacing w:line="240" w:lineRule="auto"/>
        <w:rPr>
          <w:rFonts w:ascii="Times New Roman" w:hAnsi="Times New Roman"/>
          <w:b/>
          <w:bCs/>
          <w:sz w:val="24"/>
        </w:rPr>
      </w:pPr>
      <w:r>
        <w:rPr>
          <w:rFonts w:ascii="Times New Roman" w:hAnsi="Times New Roman"/>
          <w:b/>
          <w:bCs/>
          <w:sz w:val="24"/>
        </w:rPr>
        <w:t>Aktivnosti:</w:t>
      </w:r>
    </w:p>
    <w:p w14:paraId="45D05E88"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projektnog zadatka za razvoj (izradu) metodologije sustava praćenja provedbe projekata kružnog gospodarenja prostorom i zgradama, koja obuhvaća definiranje obveznika unosa podataka u digitalnu bazu projekata i njihovih uloga te definiranje i metodologiju izrade digitalne baze projekata</w:t>
      </w:r>
    </w:p>
    <w:p w14:paraId="45D05E89"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Razvoj (izrada) metodologije sustava praćenja provedbe projekata kružnog gospodarenja prostorom i zgradama</w:t>
      </w:r>
    </w:p>
    <w:p w14:paraId="45D05E8A"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Stručni nadzor nad izradom metodologije sustava praćenja provedbe projekata kružnog gospodarenja prostorom i zgradama</w:t>
      </w:r>
    </w:p>
    <w:p w14:paraId="45D05E8B"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digitalne baze projekata razvoja kružnog gospodarenja prostorom i zgradama</w:t>
      </w:r>
    </w:p>
    <w:p w14:paraId="45D05E8C"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Stručni nadzor nad izradom digitalne baze projekata razvoja kružnog gospodarenja prostorom i zgradama</w:t>
      </w:r>
    </w:p>
    <w:p w14:paraId="45D05E8D"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programa edukacije korisnika digitalne baze projekata, koja uključuje i djelatnike zadužene za unos podataka</w:t>
      </w:r>
    </w:p>
    <w:p w14:paraId="45D05E8E"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Edukacija korisnika digitalne baze projekata</w:t>
      </w:r>
    </w:p>
    <w:p w14:paraId="45D05E8F"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Evidentiranje projekata kružnog gospodarenja prostorom i zgradama unutar digitalne baze projekata</w:t>
      </w:r>
    </w:p>
    <w:p w14:paraId="45D05E90" w14:textId="77777777" w:rsidR="00496804" w:rsidRDefault="00496804">
      <w:pPr>
        <w:spacing w:line="240" w:lineRule="auto"/>
        <w:ind w:left="709" w:hanging="709"/>
        <w:rPr>
          <w:rFonts w:ascii="Times New Roman" w:hAnsi="Times New Roman"/>
          <w:sz w:val="24"/>
        </w:rPr>
      </w:pPr>
    </w:p>
    <w:p w14:paraId="45D05E91" w14:textId="77777777" w:rsidR="00496804" w:rsidRDefault="0037359D">
      <w:pPr>
        <w:spacing w:line="240" w:lineRule="auto"/>
        <w:rPr>
          <w:rFonts w:ascii="Times New Roman" w:hAnsi="Times New Roman"/>
          <w:sz w:val="24"/>
        </w:rPr>
      </w:pPr>
      <w:r>
        <w:rPr>
          <w:rFonts w:ascii="Times New Roman" w:hAnsi="Times New Roman"/>
          <w:i/>
          <w:iCs/>
          <w:sz w:val="24"/>
        </w:rPr>
        <w:t>Tablica 19. Prikaz pokazatelja rezultata provedbe mjere 1.4.</w:t>
      </w:r>
    </w:p>
    <w:tbl>
      <w:tblPr>
        <w:tblStyle w:val="Reetkatablice9"/>
        <w:tblW w:w="0" w:type="auto"/>
        <w:tblLook w:val="04A0" w:firstRow="1" w:lastRow="0" w:firstColumn="1" w:lastColumn="0" w:noHBand="0" w:noVBand="1"/>
      </w:tblPr>
      <w:tblGrid>
        <w:gridCol w:w="4520"/>
        <w:gridCol w:w="1414"/>
        <w:gridCol w:w="1702"/>
        <w:gridCol w:w="1986"/>
      </w:tblGrid>
      <w:tr w:rsidR="00496804" w14:paraId="45D05E96" w14:textId="77777777">
        <w:tc>
          <w:tcPr>
            <w:tcW w:w="4520" w:type="dxa"/>
            <w:shd w:val="clear" w:color="auto" w:fill="FFCCA6" w:themeFill="accent5" w:themeFillTint="66"/>
            <w:vAlign w:val="center"/>
          </w:tcPr>
          <w:p w14:paraId="45D05E92"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vAlign w:val="center"/>
          </w:tcPr>
          <w:p w14:paraId="45D05E93"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94"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vAlign w:val="center"/>
          </w:tcPr>
          <w:p w14:paraId="45D05E95"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9B" w14:textId="77777777">
        <w:tc>
          <w:tcPr>
            <w:tcW w:w="4520" w:type="dxa"/>
            <w:vAlign w:val="center"/>
          </w:tcPr>
          <w:p w14:paraId="45D05E97"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Izrađena digitalna baza projekata kružnog gospodarenja prostorom i zgradama</w:t>
            </w:r>
          </w:p>
        </w:tc>
        <w:tc>
          <w:tcPr>
            <w:tcW w:w="1414" w:type="dxa"/>
            <w:vAlign w:val="center"/>
          </w:tcPr>
          <w:p w14:paraId="45D05E98"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99"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9A"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w:t>
            </w:r>
          </w:p>
        </w:tc>
      </w:tr>
    </w:tbl>
    <w:p w14:paraId="45D05E9C" w14:textId="77777777" w:rsidR="00496804" w:rsidRDefault="00496804">
      <w:pPr>
        <w:spacing w:line="240" w:lineRule="auto"/>
        <w:ind w:left="709" w:hanging="709"/>
        <w:rPr>
          <w:rFonts w:ascii="Times New Roman" w:hAnsi="Times New Roman"/>
          <w:sz w:val="24"/>
        </w:rPr>
      </w:pPr>
    </w:p>
    <w:p w14:paraId="45D05E9D"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9E" w14:textId="77777777" w:rsidR="00496804" w:rsidRDefault="0037359D">
      <w:pPr>
        <w:tabs>
          <w:tab w:val="left" w:pos="426"/>
        </w:tabs>
        <w:spacing w:line="240" w:lineRule="auto"/>
        <w:rPr>
          <w:rFonts w:ascii="Times New Roman" w:eastAsia="Calibri" w:hAnsi="Times New Roman"/>
          <w:b/>
          <w:bCs/>
          <w:sz w:val="24"/>
          <w:lang w:eastAsia="en-US"/>
        </w:rPr>
      </w:pPr>
      <w:r>
        <w:rPr>
          <w:rFonts w:ascii="Times New Roman" w:eastAsia="Calibri" w:hAnsi="Times New Roman"/>
          <w:b/>
          <w:bCs/>
          <w:sz w:val="24"/>
          <w:lang w:eastAsia="en-US"/>
        </w:rPr>
        <w:lastRenderedPageBreak/>
        <w:t xml:space="preserve">MJERA 1.5. </w:t>
      </w:r>
    </w:p>
    <w:p w14:paraId="45D05E9F" w14:textId="77777777" w:rsidR="00496804" w:rsidRDefault="0037359D">
      <w:pPr>
        <w:pBdr>
          <w:bottom w:val="single" w:sz="4" w:space="1" w:color="auto"/>
        </w:pBdr>
        <w:tabs>
          <w:tab w:val="left" w:pos="426"/>
        </w:tabs>
        <w:spacing w:line="240" w:lineRule="auto"/>
        <w:rPr>
          <w:rFonts w:ascii="Times New Roman" w:eastAsia="Calibri" w:hAnsi="Times New Roman"/>
          <w:b/>
          <w:bCs/>
          <w:sz w:val="24"/>
          <w:lang w:eastAsia="en-US"/>
        </w:rPr>
      </w:pPr>
      <w:r>
        <w:rPr>
          <w:rFonts w:ascii="Times New Roman" w:eastAsia="Calibri" w:hAnsi="Times New Roman"/>
          <w:b/>
          <w:bCs/>
          <w:sz w:val="24"/>
          <w:lang w:eastAsia="en-US"/>
        </w:rPr>
        <w:t xml:space="preserve">Unaprjeđenje međusektorske i međunarodne suradnje </w:t>
      </w:r>
    </w:p>
    <w:p w14:paraId="45D05EA0" w14:textId="77777777" w:rsidR="00496804" w:rsidRDefault="00496804">
      <w:pPr>
        <w:spacing w:line="240" w:lineRule="auto"/>
        <w:rPr>
          <w:rFonts w:ascii="Times New Roman" w:eastAsia="Calibri" w:hAnsi="Times New Roman"/>
          <w:sz w:val="24"/>
          <w:lang w:eastAsia="en-US"/>
        </w:rPr>
      </w:pPr>
    </w:p>
    <w:p w14:paraId="45D05EA1" w14:textId="77777777" w:rsidR="00496804" w:rsidRDefault="0037359D">
      <w:pPr>
        <w:spacing w:after="120" w:line="240" w:lineRule="auto"/>
        <w:rPr>
          <w:rFonts w:ascii="Times New Roman" w:eastAsia="Calibri" w:hAnsi="Times New Roman"/>
          <w:sz w:val="24"/>
          <w:lang w:eastAsia="en-US"/>
        </w:rPr>
      </w:pPr>
      <w:r>
        <w:rPr>
          <w:rFonts w:ascii="Times New Roman" w:eastAsia="Calibri" w:hAnsi="Times New Roman"/>
          <w:sz w:val="24"/>
          <w:lang w:eastAsia="en-US"/>
        </w:rPr>
        <w:t xml:space="preserve">U svrhu ostvarenja cilja kvalitetnog upravljanja razvojem kružnog gospodarenja prostorom i zgradama, ističe se potreba za unaprjeđenjem međusektorske europske i međunarodne suradnje s različitim relevantnim dionicima, koja uključuje obostranu razmjenu znanja i iskustava. </w:t>
      </w:r>
      <w:r>
        <w:rPr>
          <w:rFonts w:ascii="Times New Roman" w:hAnsi="Times New Roman"/>
          <w:sz w:val="24"/>
        </w:rPr>
        <w:t>Razvoj novih instrumenata prostornog planiranja može omogućiti društvenu koheziju i gospodarsku stabilnost kroz poticanje održivog razvoja i međusektorsku suradnju te uključivanje različitih dionika.</w:t>
      </w:r>
    </w:p>
    <w:p w14:paraId="45D05EA2" w14:textId="77777777" w:rsidR="00496804" w:rsidRDefault="00496804">
      <w:pPr>
        <w:spacing w:line="240" w:lineRule="auto"/>
        <w:rPr>
          <w:rFonts w:ascii="Times New Roman" w:eastAsia="Calibri" w:hAnsi="Times New Roman"/>
          <w:sz w:val="24"/>
          <w:lang w:eastAsia="en-US"/>
        </w:rPr>
      </w:pPr>
    </w:p>
    <w:p w14:paraId="45D05EA3" w14:textId="77777777" w:rsidR="00496804" w:rsidRDefault="0037359D">
      <w:pPr>
        <w:spacing w:line="259" w:lineRule="auto"/>
        <w:rPr>
          <w:rFonts w:ascii="Times New Roman" w:eastAsia="Calibri" w:hAnsi="Times New Roman"/>
          <w:b/>
          <w:bCs/>
          <w:sz w:val="24"/>
          <w:lang w:eastAsia="en-US"/>
        </w:rPr>
      </w:pPr>
      <w:r>
        <w:rPr>
          <w:rFonts w:ascii="Times New Roman" w:eastAsia="Calibri" w:hAnsi="Times New Roman"/>
          <w:b/>
          <w:bCs/>
          <w:sz w:val="24"/>
          <w:lang w:eastAsia="en-US"/>
        </w:rPr>
        <w:t>Aktivnosti:</w:t>
      </w:r>
    </w:p>
    <w:p w14:paraId="45D05EA4"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Poticanje suradnje unutar platforme dionika za istraživanje, implementaciju, komunikaciju i suradnju dionika u kružnom gospodarenju prostorom i zgradama</w:t>
      </w:r>
    </w:p>
    <w:p w14:paraId="45D05EA5"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Izrada programa međunarodne suradnje</w:t>
      </w:r>
    </w:p>
    <w:p w14:paraId="45D05EA6"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Suradnja s međunarodnim institucijama i stručnjacima na razvoju integralnog pristupa održivom razvoju urbanih područja kroz kružno gospodarenje prostorom i zgradama koji integralno sagledava zgrade i njihov okoliš, energetsku učinkovitost i razvoj zelene infrastrukture</w:t>
      </w:r>
    </w:p>
    <w:p w14:paraId="45D05EA7"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 xml:space="preserve">Organiziranje skupova (kao npr. konferencije, seminari, radionice, studijski posjeti, sajmovi, okrugli stolovi, rasprave) za stručnjake i stručnu javnost, s ciljem razmjene znanja i iskustava te educiranja na temelju primjera dobre prakse </w:t>
      </w:r>
    </w:p>
    <w:p w14:paraId="45D05EA8"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 xml:space="preserve">Sudjelovanje na skupovima (npr. konferencije, seminari, radionice, studijski posjeti, sajmovi, okrugli stolovi, rasprave) za stručnjake i stručnu javnost, s ciljem razmjene znanja i iskustava te educiranja na temelju primjera dobre prakse  </w:t>
      </w:r>
    </w:p>
    <w:p w14:paraId="45D05EA9"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Povećanje društvene kohezije i gospodarske stabilnosti kroz alate prostornog planiranja</w:t>
      </w:r>
    </w:p>
    <w:p w14:paraId="45D05EAA" w14:textId="77777777" w:rsidR="00496804" w:rsidRDefault="00496804">
      <w:pPr>
        <w:spacing w:line="240" w:lineRule="auto"/>
        <w:rPr>
          <w:rFonts w:ascii="Times New Roman" w:hAnsi="Times New Roman"/>
          <w:sz w:val="24"/>
        </w:rPr>
      </w:pPr>
    </w:p>
    <w:p w14:paraId="45D05EAB" w14:textId="77777777" w:rsidR="00496804" w:rsidRDefault="0037359D">
      <w:pPr>
        <w:spacing w:line="240" w:lineRule="auto"/>
        <w:rPr>
          <w:rFonts w:ascii="Times New Roman" w:hAnsi="Times New Roman"/>
          <w:sz w:val="24"/>
        </w:rPr>
      </w:pPr>
      <w:r>
        <w:rPr>
          <w:rFonts w:ascii="Times New Roman" w:hAnsi="Times New Roman"/>
          <w:i/>
          <w:iCs/>
          <w:sz w:val="24"/>
        </w:rPr>
        <w:t>Tablica 20. Prikaz pokazatelja rezultata provedbe mjere 1.5.</w:t>
      </w:r>
    </w:p>
    <w:tbl>
      <w:tblPr>
        <w:tblStyle w:val="Reetkatablice11"/>
        <w:tblW w:w="0" w:type="auto"/>
        <w:tblLook w:val="04A0" w:firstRow="1" w:lastRow="0" w:firstColumn="1" w:lastColumn="0" w:noHBand="0" w:noVBand="1"/>
      </w:tblPr>
      <w:tblGrid>
        <w:gridCol w:w="4542"/>
        <w:gridCol w:w="1411"/>
        <w:gridCol w:w="1689"/>
        <w:gridCol w:w="1980"/>
      </w:tblGrid>
      <w:tr w:rsidR="00496804" w14:paraId="45D05EB0" w14:textId="77777777">
        <w:tc>
          <w:tcPr>
            <w:tcW w:w="4542" w:type="dxa"/>
            <w:shd w:val="clear" w:color="auto" w:fill="FFCCA6" w:themeFill="accent5" w:themeFillTint="66"/>
          </w:tcPr>
          <w:p w14:paraId="45D05EAC"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1" w:type="dxa"/>
            <w:shd w:val="clear" w:color="auto" w:fill="FFCCA6" w:themeFill="accent5" w:themeFillTint="66"/>
          </w:tcPr>
          <w:p w14:paraId="45D05EAD"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89" w:type="dxa"/>
            <w:shd w:val="clear" w:color="auto" w:fill="FFCCA6" w:themeFill="accent5" w:themeFillTint="66"/>
            <w:vAlign w:val="center"/>
          </w:tcPr>
          <w:p w14:paraId="45D05EAE"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0" w:type="dxa"/>
            <w:shd w:val="clear" w:color="auto" w:fill="FFCCA6" w:themeFill="accent5" w:themeFillTint="66"/>
          </w:tcPr>
          <w:p w14:paraId="45D05EAF"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B5" w14:textId="77777777">
        <w:tc>
          <w:tcPr>
            <w:tcW w:w="4542" w:type="dxa"/>
            <w:vAlign w:val="center"/>
          </w:tcPr>
          <w:p w14:paraId="45D05EB1" w14:textId="0BDAEE4B"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Organizirana vlastita međunarodna događanja od strane tijela nadležnog za izradu i provedbu ovog</w:t>
            </w:r>
            <w:r w:rsidR="00163ACF">
              <w:rPr>
                <w:rFonts w:ascii="Times New Roman" w:eastAsia="Calibri" w:hAnsi="Times New Roman"/>
                <w:sz w:val="24"/>
                <w:lang w:eastAsia="en-US"/>
              </w:rPr>
              <w:t>a</w:t>
            </w:r>
            <w:r>
              <w:rPr>
                <w:rFonts w:ascii="Times New Roman" w:eastAsia="Calibri" w:hAnsi="Times New Roman"/>
                <w:sz w:val="24"/>
                <w:lang w:eastAsia="en-US"/>
              </w:rPr>
              <w:t xml:space="preserve"> Programa i sudjelovanja djelatnika nadležnog tijela na međunarodnim događanjima u inozemstvu, na temu kružnog gospodarenja prostorom i zgradama i povezanih tema </w:t>
            </w:r>
          </w:p>
        </w:tc>
        <w:tc>
          <w:tcPr>
            <w:tcW w:w="1411" w:type="dxa"/>
            <w:vAlign w:val="center"/>
          </w:tcPr>
          <w:p w14:paraId="45D05EB2"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89" w:type="dxa"/>
            <w:vAlign w:val="center"/>
          </w:tcPr>
          <w:p w14:paraId="45D05EB3"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0" w:type="dxa"/>
            <w:vAlign w:val="center"/>
          </w:tcPr>
          <w:p w14:paraId="45D05EB4"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20</w:t>
            </w:r>
          </w:p>
        </w:tc>
      </w:tr>
    </w:tbl>
    <w:p w14:paraId="45D05EB6" w14:textId="77777777" w:rsidR="00496804" w:rsidRDefault="00496804">
      <w:pPr>
        <w:spacing w:line="240" w:lineRule="auto"/>
        <w:rPr>
          <w:rFonts w:ascii="Times New Roman" w:hAnsi="Times New Roman"/>
          <w:sz w:val="24"/>
        </w:rPr>
      </w:pPr>
    </w:p>
    <w:p w14:paraId="45D05EB7"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B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POSEBNI CILJ 2.</w:t>
      </w:r>
      <w:r>
        <w:rPr>
          <w:rFonts w:ascii="Times New Roman" w:hAnsi="Times New Roman" w:cs="Times New Roman"/>
          <w:b/>
          <w:bCs/>
          <w:sz w:val="24"/>
          <w:szCs w:val="24"/>
        </w:rPr>
        <w:tab/>
        <w:t>KRUŽNA OBNOVA NEKORIŠTENIH PROSTORA I ZGRADA</w:t>
      </w:r>
    </w:p>
    <w:p w14:paraId="45D05EB9" w14:textId="77777777" w:rsidR="00496804" w:rsidRDefault="00496804">
      <w:pPr>
        <w:spacing w:line="240" w:lineRule="auto"/>
        <w:rPr>
          <w:rFonts w:ascii="Times New Roman" w:hAnsi="Times New Roman"/>
          <w:b/>
          <w:bCs/>
          <w:sz w:val="24"/>
        </w:rPr>
      </w:pPr>
    </w:p>
    <w:p w14:paraId="45D05EBA"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2.1. </w:t>
      </w:r>
    </w:p>
    <w:p w14:paraId="45D05EBB" w14:textId="77777777" w:rsidR="00496804" w:rsidRDefault="0037359D">
      <w:pPr>
        <w:pBdr>
          <w:bottom w:val="single" w:sz="4" w:space="1" w:color="auto"/>
        </w:pBdr>
        <w:spacing w:line="240" w:lineRule="auto"/>
        <w:rPr>
          <w:rFonts w:ascii="Times New Roman" w:hAnsi="Times New Roman"/>
          <w:b/>
          <w:bCs/>
          <w:sz w:val="24"/>
        </w:rPr>
      </w:pPr>
      <w:r>
        <w:rPr>
          <w:rFonts w:ascii="Times New Roman" w:hAnsi="Times New Roman"/>
          <w:b/>
          <w:bCs/>
          <w:sz w:val="24"/>
        </w:rPr>
        <w:t>Provedba pilot projekata</w:t>
      </w:r>
    </w:p>
    <w:p w14:paraId="45D05EBC" w14:textId="77777777" w:rsidR="00496804" w:rsidRDefault="00496804">
      <w:pPr>
        <w:spacing w:line="240" w:lineRule="auto"/>
        <w:rPr>
          <w:rFonts w:ascii="Times New Roman" w:hAnsi="Times New Roman"/>
          <w:sz w:val="24"/>
        </w:rPr>
      </w:pPr>
    </w:p>
    <w:p w14:paraId="45D05EBD" w14:textId="54456398" w:rsidR="00496804" w:rsidRDefault="0037359D">
      <w:pPr>
        <w:spacing w:line="240" w:lineRule="auto"/>
        <w:rPr>
          <w:rFonts w:ascii="Times New Roman" w:hAnsi="Times New Roman"/>
          <w:sz w:val="24"/>
        </w:rPr>
      </w:pPr>
      <w:r>
        <w:rPr>
          <w:rFonts w:ascii="Times New Roman" w:hAnsi="Times New Roman"/>
          <w:sz w:val="24"/>
        </w:rPr>
        <w:t>Mjera je usmjerena na raspisivanje pilot poziva koji će poslužiti za razradu metodologije i smjernica za kružno gospodarenje prostorom i zgradama. Projekti iz pilot poziva će biti usmjereni na dvije najvažnije stavke ovog</w:t>
      </w:r>
      <w:r w:rsidR="00163ACF">
        <w:rPr>
          <w:rFonts w:ascii="Times New Roman" w:hAnsi="Times New Roman"/>
          <w:sz w:val="24"/>
        </w:rPr>
        <w:t>a</w:t>
      </w:r>
      <w:r>
        <w:rPr>
          <w:rFonts w:ascii="Times New Roman" w:hAnsi="Times New Roman"/>
          <w:sz w:val="24"/>
        </w:rPr>
        <w:t xml:space="preserve"> cilja: kružnu obnovu nekorištenih zgrada te kružnu obnovu nekorištenih zona (monofunkcionalnih ili polifunkcionalnih zona). Predviđa se i pilot projekt kroz koji će se omogućiti umrežavanje maksimalno </w:t>
      </w:r>
      <w:r w:rsidR="00163ACF">
        <w:rPr>
          <w:rFonts w:ascii="Times New Roman" w:hAnsi="Times New Roman"/>
          <w:sz w:val="24"/>
        </w:rPr>
        <w:t>deset</w:t>
      </w:r>
      <w:r>
        <w:rPr>
          <w:rFonts w:ascii="Times New Roman" w:hAnsi="Times New Roman"/>
          <w:sz w:val="24"/>
        </w:rPr>
        <w:t xml:space="preserve"> jedinica lokalne ili </w:t>
      </w:r>
      <w:r w:rsidR="00163ACF">
        <w:rPr>
          <w:rFonts w:ascii="Times New Roman" w:hAnsi="Times New Roman"/>
          <w:sz w:val="24"/>
        </w:rPr>
        <w:t>područne (</w:t>
      </w:r>
      <w:r>
        <w:rPr>
          <w:rFonts w:ascii="Times New Roman" w:hAnsi="Times New Roman"/>
          <w:sz w:val="24"/>
        </w:rPr>
        <w:t>regionalne</w:t>
      </w:r>
      <w:r w:rsidR="00163ACF">
        <w:rPr>
          <w:rFonts w:ascii="Times New Roman" w:hAnsi="Times New Roman"/>
          <w:sz w:val="24"/>
        </w:rPr>
        <w:t>)</w:t>
      </w:r>
      <w:r>
        <w:rPr>
          <w:rFonts w:ascii="Times New Roman" w:hAnsi="Times New Roman"/>
          <w:sz w:val="24"/>
        </w:rPr>
        <w:t xml:space="preserve"> samouprave. Projektni partneri će u okviru projekta razmijeniti svoja iskustva te slijedom provedene razmjene izraditi svoje studije, strategije i/ili planove kružnog gospodarenja prostorom i zgradama lokalne ili regionalne razine. </w:t>
      </w:r>
    </w:p>
    <w:p w14:paraId="45D05EBE" w14:textId="77777777" w:rsidR="00496804" w:rsidRDefault="00496804">
      <w:pPr>
        <w:spacing w:line="240" w:lineRule="auto"/>
        <w:rPr>
          <w:rFonts w:ascii="Times New Roman" w:hAnsi="Times New Roman"/>
          <w:sz w:val="24"/>
        </w:rPr>
      </w:pPr>
    </w:p>
    <w:p w14:paraId="45D05EBF" w14:textId="77777777" w:rsidR="00496804" w:rsidRDefault="0037359D">
      <w:pPr>
        <w:spacing w:line="259" w:lineRule="auto"/>
        <w:rPr>
          <w:rFonts w:ascii="Times New Roman" w:hAnsi="Times New Roman"/>
          <w:sz w:val="24"/>
        </w:rPr>
      </w:pPr>
      <w:r>
        <w:rPr>
          <w:rFonts w:ascii="Times New Roman" w:hAnsi="Times New Roman"/>
          <w:b/>
          <w:bCs/>
          <w:sz w:val="24"/>
        </w:rPr>
        <w:t>Aktivnosti:</w:t>
      </w:r>
    </w:p>
    <w:p w14:paraId="45D05EC0"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2.1.1. </w:t>
      </w:r>
      <w:r>
        <w:rPr>
          <w:rFonts w:ascii="Times New Roman" w:eastAsiaTheme="minorHAnsi" w:hAnsi="Times New Roman"/>
          <w:bCs/>
          <w:sz w:val="24"/>
        </w:rPr>
        <w:tab/>
        <w:t>Izrada analize mogućih pilot projekata i plana njihove provedbe</w:t>
      </w:r>
    </w:p>
    <w:p w14:paraId="45D05EC1"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2.1.2. </w:t>
      </w:r>
      <w:r>
        <w:rPr>
          <w:rFonts w:ascii="Times New Roman" w:eastAsiaTheme="minorHAnsi" w:hAnsi="Times New Roman"/>
          <w:bCs/>
          <w:sz w:val="24"/>
        </w:rPr>
        <w:tab/>
        <w:t>Provedba pilot projekta kružne obnove nekorištenih zgrada</w:t>
      </w:r>
    </w:p>
    <w:p w14:paraId="45D05EC2"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2.1.3. </w:t>
      </w:r>
      <w:r>
        <w:rPr>
          <w:rFonts w:ascii="Times New Roman" w:eastAsiaTheme="minorHAnsi" w:hAnsi="Times New Roman"/>
          <w:bCs/>
          <w:sz w:val="24"/>
        </w:rPr>
        <w:tab/>
        <w:t>Provedba pilot projekta kružne obnove nekorištenih zona (monofunkcionalnih ili polifunkcionalnih)</w:t>
      </w:r>
    </w:p>
    <w:p w14:paraId="45D05EC3"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2.1.4. </w:t>
      </w:r>
      <w:r>
        <w:rPr>
          <w:rFonts w:ascii="Times New Roman" w:eastAsiaTheme="minorHAnsi" w:hAnsi="Times New Roman"/>
          <w:bCs/>
          <w:sz w:val="24"/>
        </w:rPr>
        <w:tab/>
        <w:t xml:space="preserve">Provedba pilot projekta izrade </w:t>
      </w:r>
      <w:r>
        <w:rPr>
          <w:rFonts w:ascii="Times New Roman" w:hAnsi="Times New Roman"/>
          <w:sz w:val="24"/>
        </w:rPr>
        <w:t>studija, strategija i/ili planova kružnog gospodarenja prostorom i zgradama</w:t>
      </w:r>
      <w:r>
        <w:rPr>
          <w:rFonts w:ascii="Times New Roman" w:eastAsiaTheme="minorHAnsi" w:hAnsi="Times New Roman"/>
          <w:bCs/>
          <w:sz w:val="24"/>
        </w:rPr>
        <w:t xml:space="preserve"> na lokalnoj ili regionalnoj razini </w:t>
      </w:r>
    </w:p>
    <w:p w14:paraId="45D05EC4" w14:textId="77777777" w:rsidR="00496804" w:rsidRDefault="00496804">
      <w:pPr>
        <w:spacing w:line="240" w:lineRule="auto"/>
        <w:rPr>
          <w:rFonts w:ascii="Times New Roman" w:hAnsi="Times New Roman"/>
          <w:sz w:val="24"/>
        </w:rPr>
      </w:pPr>
    </w:p>
    <w:p w14:paraId="45D05EC5" w14:textId="77777777" w:rsidR="00496804" w:rsidRDefault="0037359D">
      <w:pPr>
        <w:spacing w:line="240" w:lineRule="auto"/>
        <w:rPr>
          <w:rFonts w:ascii="Times New Roman" w:hAnsi="Times New Roman"/>
          <w:sz w:val="24"/>
        </w:rPr>
      </w:pPr>
      <w:r>
        <w:rPr>
          <w:rFonts w:ascii="Times New Roman" w:hAnsi="Times New Roman"/>
          <w:i/>
          <w:iCs/>
          <w:sz w:val="24"/>
        </w:rPr>
        <w:t>Tablica 21. Prikaz pokazatelja rezultata provedbe mjere 2.1.</w:t>
      </w:r>
    </w:p>
    <w:tbl>
      <w:tblPr>
        <w:tblStyle w:val="Reetkatablice8"/>
        <w:tblW w:w="0" w:type="auto"/>
        <w:tblLook w:val="04A0" w:firstRow="1" w:lastRow="0" w:firstColumn="1" w:lastColumn="0" w:noHBand="0" w:noVBand="1"/>
      </w:tblPr>
      <w:tblGrid>
        <w:gridCol w:w="4520"/>
        <w:gridCol w:w="1414"/>
        <w:gridCol w:w="1702"/>
        <w:gridCol w:w="1986"/>
      </w:tblGrid>
      <w:tr w:rsidR="00496804" w14:paraId="45D05ECA" w14:textId="77777777">
        <w:tc>
          <w:tcPr>
            <w:tcW w:w="4520" w:type="dxa"/>
            <w:shd w:val="clear" w:color="auto" w:fill="FFCCA6" w:themeFill="accent5" w:themeFillTint="66"/>
          </w:tcPr>
          <w:p w14:paraId="45D05EC6"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C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C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C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CF" w14:textId="77777777">
        <w:tc>
          <w:tcPr>
            <w:tcW w:w="4520" w:type="dxa"/>
            <w:vAlign w:val="center"/>
          </w:tcPr>
          <w:p w14:paraId="45D05ECB"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Građevinska bruto površina (GBP) kružno obnovljenih zgrada u okviru pilot projekata</w:t>
            </w:r>
          </w:p>
        </w:tc>
        <w:tc>
          <w:tcPr>
            <w:tcW w:w="1414" w:type="dxa"/>
            <w:vAlign w:val="center"/>
          </w:tcPr>
          <w:p w14:paraId="45D05ECC"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hAnsi="Times New Roman"/>
                <w:sz w:val="24"/>
              </w:rPr>
              <w:t>m</w:t>
            </w:r>
            <w:r>
              <w:rPr>
                <w:rFonts w:ascii="Times New Roman" w:hAnsi="Times New Roman"/>
                <w:sz w:val="24"/>
                <w:vertAlign w:val="superscript"/>
              </w:rPr>
              <w:t>2</w:t>
            </w:r>
          </w:p>
        </w:tc>
        <w:tc>
          <w:tcPr>
            <w:tcW w:w="1702" w:type="dxa"/>
            <w:vAlign w:val="center"/>
          </w:tcPr>
          <w:p w14:paraId="45D05ECD"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CE"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20.000</w:t>
            </w:r>
          </w:p>
        </w:tc>
      </w:tr>
      <w:tr w:rsidR="00496804" w14:paraId="45D05ED4" w14:textId="77777777">
        <w:tc>
          <w:tcPr>
            <w:tcW w:w="4520" w:type="dxa"/>
            <w:vAlign w:val="center"/>
          </w:tcPr>
          <w:p w14:paraId="45D05ED0" w14:textId="77777777" w:rsidR="00496804" w:rsidRDefault="0037359D">
            <w:pPr>
              <w:spacing w:after="200" w:line="240" w:lineRule="auto"/>
              <w:jc w:val="left"/>
              <w:rPr>
                <w:rFonts w:ascii="Times New Roman" w:eastAsia="Calibri" w:hAnsi="Times New Roman"/>
                <w:sz w:val="24"/>
                <w:highlight w:val="yellow"/>
                <w:lang w:eastAsia="en-US"/>
              </w:rPr>
            </w:pPr>
            <w:r>
              <w:rPr>
                <w:rFonts w:ascii="Times New Roman" w:eastAsia="Calibri" w:hAnsi="Times New Roman"/>
                <w:sz w:val="24"/>
                <w:lang w:eastAsia="en-US"/>
              </w:rPr>
              <w:t xml:space="preserve">Broj izrađenih </w:t>
            </w:r>
            <w:r>
              <w:rPr>
                <w:rFonts w:ascii="Times New Roman" w:hAnsi="Times New Roman"/>
                <w:sz w:val="24"/>
              </w:rPr>
              <w:t>studija, strategija i/ili planova</w:t>
            </w:r>
            <w:r>
              <w:rPr>
                <w:rFonts w:ascii="Times New Roman" w:eastAsia="Calibri" w:hAnsi="Times New Roman"/>
                <w:sz w:val="24"/>
                <w:lang w:eastAsia="en-US"/>
              </w:rPr>
              <w:t xml:space="preserve"> kružnog gospodarenja prostorom i zgradama na lokalnoj i regionalnoj razini</w:t>
            </w:r>
          </w:p>
        </w:tc>
        <w:tc>
          <w:tcPr>
            <w:tcW w:w="1414" w:type="dxa"/>
            <w:vAlign w:val="center"/>
          </w:tcPr>
          <w:p w14:paraId="45D05ED1"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D2"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D3"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5</w:t>
            </w:r>
          </w:p>
        </w:tc>
      </w:tr>
    </w:tbl>
    <w:p w14:paraId="45D05ED5" w14:textId="77777777" w:rsidR="00496804" w:rsidRDefault="00496804">
      <w:pPr>
        <w:spacing w:line="240" w:lineRule="auto"/>
        <w:rPr>
          <w:rFonts w:ascii="Times New Roman" w:hAnsi="Times New Roman"/>
          <w:sz w:val="24"/>
        </w:rPr>
      </w:pPr>
    </w:p>
    <w:p w14:paraId="45D05ED6" w14:textId="77777777" w:rsidR="00496804" w:rsidRDefault="00496804">
      <w:pPr>
        <w:spacing w:line="240" w:lineRule="auto"/>
        <w:rPr>
          <w:rFonts w:ascii="Times New Roman" w:hAnsi="Times New Roman"/>
          <w:sz w:val="24"/>
        </w:rPr>
      </w:pPr>
    </w:p>
    <w:p w14:paraId="45D05ED7"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2.2. </w:t>
      </w:r>
    </w:p>
    <w:p w14:paraId="45D05ED8" w14:textId="77777777" w:rsidR="00496804" w:rsidRDefault="0037359D">
      <w:pPr>
        <w:pBdr>
          <w:bottom w:val="single" w:sz="4" w:space="1" w:color="auto"/>
        </w:pBdr>
        <w:spacing w:line="240" w:lineRule="auto"/>
        <w:rPr>
          <w:rFonts w:ascii="Times New Roman" w:hAnsi="Times New Roman"/>
          <w:b/>
          <w:bCs/>
          <w:sz w:val="24"/>
        </w:rPr>
      </w:pPr>
      <w:r>
        <w:rPr>
          <w:rFonts w:ascii="Times New Roman" w:hAnsi="Times New Roman"/>
          <w:b/>
          <w:bCs/>
          <w:sz w:val="24"/>
        </w:rPr>
        <w:t>Poticanje kružne obnove prostora i zgrada</w:t>
      </w:r>
    </w:p>
    <w:p w14:paraId="45D05ED9" w14:textId="77777777" w:rsidR="00496804" w:rsidRDefault="00496804">
      <w:pPr>
        <w:spacing w:line="240" w:lineRule="auto"/>
        <w:rPr>
          <w:rFonts w:ascii="Times New Roman" w:hAnsi="Times New Roman"/>
          <w:sz w:val="24"/>
        </w:rPr>
      </w:pPr>
    </w:p>
    <w:p w14:paraId="45D05EDA" w14:textId="593141BF" w:rsidR="00496804" w:rsidRDefault="0037359D">
      <w:pPr>
        <w:spacing w:line="240" w:lineRule="auto"/>
        <w:rPr>
          <w:rFonts w:ascii="Times New Roman" w:hAnsi="Times New Roman"/>
          <w:sz w:val="24"/>
        </w:rPr>
      </w:pPr>
      <w:r>
        <w:rPr>
          <w:rFonts w:ascii="Times New Roman" w:hAnsi="Times New Roman"/>
          <w:sz w:val="24"/>
        </w:rPr>
        <w:t>Provedbom ove mjere planira se potaknuti obnova postojećeg nacionalnog fonda zgrada, čime se doprinosi učinkovitom korištenju prostornih resursa, odnosno održivom korištenju zemljišta kroz smanjenje potrebe za širenjem građevinskih područja na trenutno neizgrađena područja. Mjera je usmjerena na aktivnosti obnove nekorištenih zgrada i zona (monofunkcionalnih i polifunkcionalnih), prema načelima kružnog gospodarenja i održive gradnje u svrhu povećanja trajnosti i cjeloživotnog vijeka zgrada u prostoru, poboljšanja energetskih svojstava zgrada i smanjenja nastanka građevnog otpada. Ova mjera će preuzeti i integrirati metodologiju i smjernice proizašle iz preostalih mjera ovog</w:t>
      </w:r>
      <w:r w:rsidR="0092673A">
        <w:rPr>
          <w:rFonts w:ascii="Times New Roman" w:hAnsi="Times New Roman"/>
          <w:sz w:val="24"/>
        </w:rPr>
        <w:t>a</w:t>
      </w:r>
      <w:r>
        <w:rPr>
          <w:rFonts w:ascii="Times New Roman" w:hAnsi="Times New Roman"/>
          <w:sz w:val="24"/>
        </w:rPr>
        <w:t xml:space="preserve"> strateškog okvira. Dodatnu vrijednost mjeri pruža integralni pristup uz primjenu horizontalnih mjera iz područja pristupačnosti, mjera prevencije zgrada na posljedice djelovanja katastrofalnih događaja (npr. potres, požar, poplava) i mjera zelene infrastrukture (npr. zeleni krovovi, zelene fasade, uređenje čestice zgrade ili zahvata u prostoru i sl.).</w:t>
      </w:r>
    </w:p>
    <w:p w14:paraId="45D05EDB" w14:textId="77777777" w:rsidR="00496804" w:rsidRDefault="00496804">
      <w:pPr>
        <w:spacing w:line="240" w:lineRule="auto"/>
        <w:rPr>
          <w:rFonts w:ascii="Times New Roman" w:hAnsi="Times New Roman"/>
          <w:sz w:val="24"/>
        </w:rPr>
      </w:pPr>
    </w:p>
    <w:p w14:paraId="45D05EDC" w14:textId="77777777" w:rsidR="00496804" w:rsidRDefault="00496804">
      <w:pPr>
        <w:spacing w:line="240" w:lineRule="auto"/>
        <w:rPr>
          <w:rFonts w:ascii="Times New Roman" w:hAnsi="Times New Roman"/>
          <w:sz w:val="24"/>
        </w:rPr>
      </w:pPr>
    </w:p>
    <w:p w14:paraId="45D05EDD" w14:textId="77777777" w:rsidR="00496804" w:rsidRDefault="0037359D">
      <w:pPr>
        <w:spacing w:line="240" w:lineRule="auto"/>
        <w:rPr>
          <w:rFonts w:ascii="Times New Roman" w:hAnsi="Times New Roman"/>
          <w:b/>
          <w:bCs/>
          <w:sz w:val="24"/>
        </w:rPr>
      </w:pPr>
      <w:r>
        <w:rPr>
          <w:rFonts w:ascii="Times New Roman" w:hAnsi="Times New Roman"/>
          <w:b/>
          <w:bCs/>
          <w:sz w:val="24"/>
        </w:rPr>
        <w:t>Aktivnosti:</w:t>
      </w:r>
    </w:p>
    <w:p w14:paraId="45D05EDE"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Izrada analize mogućih projekata i plana njihove provedbe</w:t>
      </w:r>
    </w:p>
    <w:p w14:paraId="45D05EDF"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 xml:space="preserve">Raspisivanje poziva na dostavu projektnih prijedloga za kružnu obnovu nekorištenih zgrada </w:t>
      </w:r>
    </w:p>
    <w:p w14:paraId="45D05EE0"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Raspisivanje poziva na dostavu projektnih prijedloga za kružnu obnovu nekorištenih zona (monofunkcionalnih ili polifunkcionalnih)</w:t>
      </w:r>
    </w:p>
    <w:p w14:paraId="45D05EE1" w14:textId="77777777" w:rsidR="00496804" w:rsidRDefault="00496804">
      <w:pPr>
        <w:spacing w:line="240" w:lineRule="auto"/>
        <w:ind w:left="709" w:hanging="709"/>
        <w:rPr>
          <w:rFonts w:ascii="Times New Roman" w:hAnsi="Times New Roman"/>
          <w:sz w:val="24"/>
        </w:rPr>
      </w:pPr>
    </w:p>
    <w:p w14:paraId="45D05EE2" w14:textId="77777777" w:rsidR="00496804" w:rsidRDefault="0037359D">
      <w:pPr>
        <w:spacing w:after="200" w:line="276" w:lineRule="auto"/>
        <w:rPr>
          <w:rFonts w:ascii="Times New Roman" w:eastAsia="Calibri" w:hAnsi="Times New Roman"/>
          <w:sz w:val="24"/>
          <w:lang w:eastAsia="en-US"/>
        </w:rPr>
      </w:pPr>
      <w:r>
        <w:rPr>
          <w:rFonts w:ascii="Times New Roman" w:eastAsia="Calibri" w:hAnsi="Times New Roman"/>
          <w:sz w:val="24"/>
          <w:lang w:eastAsia="en-US"/>
        </w:rPr>
        <w:t>Pokazatelj rezultata provedbe mjere prikazan je kumulativno za sve kategorije projekata kružne obnove prostora i zgrada.</w:t>
      </w:r>
    </w:p>
    <w:p w14:paraId="45D05EE3"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22. Prikaz pokazatelja rezultata provedbe mjere 2.2.</w:t>
      </w:r>
    </w:p>
    <w:tbl>
      <w:tblPr>
        <w:tblStyle w:val="Reetkatablice7"/>
        <w:tblW w:w="0" w:type="auto"/>
        <w:tblLook w:val="04A0" w:firstRow="1" w:lastRow="0" w:firstColumn="1" w:lastColumn="0" w:noHBand="0" w:noVBand="1"/>
      </w:tblPr>
      <w:tblGrid>
        <w:gridCol w:w="4577"/>
        <w:gridCol w:w="1406"/>
        <w:gridCol w:w="1669"/>
        <w:gridCol w:w="1970"/>
      </w:tblGrid>
      <w:tr w:rsidR="00496804" w14:paraId="45D05EE8" w14:textId="77777777">
        <w:tc>
          <w:tcPr>
            <w:tcW w:w="4577" w:type="dxa"/>
            <w:shd w:val="clear" w:color="auto" w:fill="FFCCA6" w:themeFill="accent5" w:themeFillTint="66"/>
          </w:tcPr>
          <w:p w14:paraId="45D05EE4"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06" w:type="dxa"/>
            <w:shd w:val="clear" w:color="auto" w:fill="FFCCA6" w:themeFill="accent5" w:themeFillTint="66"/>
          </w:tcPr>
          <w:p w14:paraId="45D05EE5"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69" w:type="dxa"/>
            <w:shd w:val="clear" w:color="auto" w:fill="FFCCA6" w:themeFill="accent5" w:themeFillTint="66"/>
            <w:vAlign w:val="center"/>
          </w:tcPr>
          <w:p w14:paraId="45D05EE6"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70" w:type="dxa"/>
            <w:shd w:val="clear" w:color="auto" w:fill="FFCCA6" w:themeFill="accent5" w:themeFillTint="66"/>
          </w:tcPr>
          <w:p w14:paraId="45D05EE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ED" w14:textId="77777777">
        <w:tc>
          <w:tcPr>
            <w:tcW w:w="4577" w:type="dxa"/>
            <w:vAlign w:val="center"/>
          </w:tcPr>
          <w:p w14:paraId="45D05EE9"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Građevinska bruto površina (GBP) kružno obnovljenih zgrada u okviru poziva za kategorije: nekorištene zgrade, nekorištene zone (monofunkcionalne ili polifunkcionalne)</w:t>
            </w:r>
          </w:p>
        </w:tc>
        <w:tc>
          <w:tcPr>
            <w:tcW w:w="1406" w:type="dxa"/>
            <w:vAlign w:val="center"/>
          </w:tcPr>
          <w:p w14:paraId="45D05EEA"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hAnsi="Times New Roman"/>
                <w:sz w:val="24"/>
              </w:rPr>
              <w:t>m</w:t>
            </w:r>
            <w:r>
              <w:rPr>
                <w:rFonts w:ascii="Times New Roman" w:hAnsi="Times New Roman"/>
                <w:sz w:val="24"/>
                <w:vertAlign w:val="superscript"/>
              </w:rPr>
              <w:t>2</w:t>
            </w:r>
          </w:p>
        </w:tc>
        <w:tc>
          <w:tcPr>
            <w:tcW w:w="1669" w:type="dxa"/>
            <w:vAlign w:val="center"/>
          </w:tcPr>
          <w:p w14:paraId="45D05EEB"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70" w:type="dxa"/>
            <w:vAlign w:val="center"/>
          </w:tcPr>
          <w:p w14:paraId="45D05EEC"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600.000</w:t>
            </w:r>
          </w:p>
        </w:tc>
      </w:tr>
    </w:tbl>
    <w:p w14:paraId="45D05EEE" w14:textId="77777777" w:rsidR="00496804" w:rsidRDefault="00496804">
      <w:pPr>
        <w:spacing w:line="240" w:lineRule="auto"/>
        <w:rPr>
          <w:rFonts w:ascii="Times New Roman" w:hAnsi="Times New Roman"/>
          <w:sz w:val="24"/>
        </w:rPr>
      </w:pPr>
    </w:p>
    <w:p w14:paraId="45D05EEF" w14:textId="77777777" w:rsidR="00496804" w:rsidRDefault="00496804">
      <w:pPr>
        <w:spacing w:line="240" w:lineRule="auto"/>
        <w:ind w:left="709" w:hanging="709"/>
        <w:rPr>
          <w:rFonts w:ascii="Times New Roman" w:hAnsi="Times New Roman"/>
          <w:sz w:val="24"/>
        </w:rPr>
      </w:pPr>
    </w:p>
    <w:p w14:paraId="45D05EF0"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2.3. </w:t>
      </w:r>
    </w:p>
    <w:p w14:paraId="45D05EF1" w14:textId="77777777" w:rsidR="00496804" w:rsidRDefault="0037359D">
      <w:pPr>
        <w:pBdr>
          <w:bottom w:val="single" w:sz="4" w:space="1" w:color="auto"/>
        </w:pBdr>
        <w:spacing w:line="240" w:lineRule="auto"/>
        <w:rPr>
          <w:rFonts w:ascii="Times New Roman" w:hAnsi="Times New Roman"/>
          <w:sz w:val="24"/>
        </w:rPr>
      </w:pPr>
      <w:r>
        <w:rPr>
          <w:rFonts w:ascii="Times New Roman" w:hAnsi="Times New Roman"/>
          <w:b/>
          <w:bCs/>
          <w:sz w:val="24"/>
        </w:rPr>
        <w:t>Poticanje inovacija i razvoja u primjeni kružnog gospodarenja prostorom i zgradama</w:t>
      </w:r>
    </w:p>
    <w:p w14:paraId="45D05EF2" w14:textId="77777777" w:rsidR="00496804" w:rsidRDefault="00496804">
      <w:pPr>
        <w:pStyle w:val="tekst"/>
        <w:spacing w:line="240" w:lineRule="auto"/>
        <w:rPr>
          <w:rFonts w:ascii="Times New Roman" w:hAnsi="Times New Roman" w:cs="Times New Roman"/>
          <w:sz w:val="24"/>
          <w:szCs w:val="24"/>
        </w:rPr>
      </w:pPr>
    </w:p>
    <w:p w14:paraId="45D05EF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Mjera će doprinijeti unaprjeđenju prostornog planiranja i sustava prostornog uređenja te izgradnje i obnove zgrada, kao i izrade certifikata održive gradnje (npr. LEED, BREEAM, DGNB i sl.). Mjera nadalje uključuje i aktivnosti poticanja inovacija i razvoja u primjeni kružnog gospodarenja prostorom i zgradama na svim razinama (materijala i proizvoda, projektiranja, gradnje, održavanja i obnove zgrada). Pod primjerima inovativnih materijala i/ili proizvoda mogu se podrazumijevati materijali s niskom ugrađenom energijom, materijali iz sekundarnih i recikliranih sirovina, materijali i elementi zgrade s niskim troškovima održavanja s mogućim korištenjem i nakon završetka cjeloživotnog vijeka zgrade.</w:t>
      </w:r>
    </w:p>
    <w:p w14:paraId="45D05EF4" w14:textId="77777777" w:rsidR="00496804" w:rsidRDefault="00496804">
      <w:pPr>
        <w:pStyle w:val="tekst"/>
        <w:spacing w:line="240" w:lineRule="auto"/>
        <w:rPr>
          <w:rFonts w:ascii="Times New Roman" w:hAnsi="Times New Roman" w:cs="Times New Roman"/>
          <w:sz w:val="24"/>
          <w:szCs w:val="24"/>
        </w:rPr>
      </w:pPr>
    </w:p>
    <w:p w14:paraId="45D05EF5"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F6"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inovacija u načinu planiranja prostora na načelima kružnog gospodarenja</w:t>
      </w:r>
    </w:p>
    <w:p w14:paraId="45D05EF7"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inovacija i razvoja u primjeni kružnog gospodarenja prostorom i zgradama na svim razinama (materijala i proizvoda, projektiranja, gradnje, održavanja i obnove zgrada)</w:t>
      </w:r>
    </w:p>
    <w:p w14:paraId="45D05EF8"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izrade certifikata održive gradnje (npr. LEED, BREEAM, DGNB i sl.)</w:t>
      </w:r>
    </w:p>
    <w:p w14:paraId="45D05EF9" w14:textId="77777777" w:rsidR="00496804" w:rsidRDefault="00496804">
      <w:pPr>
        <w:spacing w:line="240" w:lineRule="auto"/>
        <w:rPr>
          <w:rFonts w:ascii="Times New Roman" w:hAnsi="Times New Roman"/>
          <w:sz w:val="24"/>
        </w:rPr>
      </w:pPr>
    </w:p>
    <w:p w14:paraId="45D05EFA" w14:textId="77777777" w:rsidR="00496804" w:rsidRDefault="00496804">
      <w:pPr>
        <w:pStyle w:val="tekst"/>
        <w:spacing w:line="240" w:lineRule="auto"/>
        <w:rPr>
          <w:rFonts w:ascii="Times New Roman" w:hAnsi="Times New Roman" w:cs="Times New Roman"/>
          <w:b/>
          <w:bCs/>
          <w:sz w:val="24"/>
          <w:szCs w:val="24"/>
        </w:rPr>
      </w:pPr>
    </w:p>
    <w:p w14:paraId="45D05EFB" w14:textId="77777777" w:rsidR="00496804" w:rsidRDefault="0037359D">
      <w:pPr>
        <w:spacing w:line="240" w:lineRule="auto"/>
        <w:rPr>
          <w:rFonts w:ascii="Times New Roman" w:hAnsi="Times New Roman"/>
          <w:b/>
          <w:bCs/>
          <w:sz w:val="24"/>
        </w:rPr>
      </w:pPr>
      <w:r>
        <w:rPr>
          <w:rFonts w:ascii="Times New Roman" w:hAnsi="Times New Roman"/>
          <w:i/>
          <w:iCs/>
          <w:sz w:val="24"/>
        </w:rPr>
        <w:t>Tablica 23. Prikaz pokazatelja rezultata provedbe mjere 2.3.</w:t>
      </w:r>
    </w:p>
    <w:tbl>
      <w:tblPr>
        <w:tblStyle w:val="Reetkatablice10"/>
        <w:tblW w:w="0" w:type="auto"/>
        <w:tblLook w:val="04A0" w:firstRow="1" w:lastRow="0" w:firstColumn="1" w:lastColumn="0" w:noHBand="0" w:noVBand="1"/>
      </w:tblPr>
      <w:tblGrid>
        <w:gridCol w:w="4495"/>
        <w:gridCol w:w="1418"/>
        <w:gridCol w:w="1716"/>
        <w:gridCol w:w="1993"/>
      </w:tblGrid>
      <w:tr w:rsidR="00496804" w14:paraId="45D05F00" w14:textId="77777777">
        <w:tc>
          <w:tcPr>
            <w:tcW w:w="4495" w:type="dxa"/>
            <w:shd w:val="clear" w:color="auto" w:fill="FFCCA6" w:themeFill="accent5" w:themeFillTint="66"/>
            <w:vAlign w:val="center"/>
          </w:tcPr>
          <w:p w14:paraId="45D05EFC"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8" w:type="dxa"/>
            <w:shd w:val="clear" w:color="auto" w:fill="FFCCA6" w:themeFill="accent5" w:themeFillTint="66"/>
            <w:vAlign w:val="center"/>
          </w:tcPr>
          <w:p w14:paraId="45D05EFD"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16" w:type="dxa"/>
            <w:shd w:val="clear" w:color="auto" w:fill="FFCCA6" w:themeFill="accent5" w:themeFillTint="66"/>
            <w:vAlign w:val="center"/>
          </w:tcPr>
          <w:p w14:paraId="45D05EFE"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93" w:type="dxa"/>
            <w:shd w:val="clear" w:color="auto" w:fill="FFCCA6" w:themeFill="accent5" w:themeFillTint="66"/>
            <w:vAlign w:val="center"/>
          </w:tcPr>
          <w:p w14:paraId="45D05EFF"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05" w14:textId="77777777">
        <w:tc>
          <w:tcPr>
            <w:tcW w:w="4495" w:type="dxa"/>
            <w:vAlign w:val="center"/>
          </w:tcPr>
          <w:p w14:paraId="45D05F01"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Broj poticanih projekata inovacija ili certifikata</w:t>
            </w:r>
          </w:p>
        </w:tc>
        <w:tc>
          <w:tcPr>
            <w:tcW w:w="1418" w:type="dxa"/>
            <w:vAlign w:val="center"/>
          </w:tcPr>
          <w:p w14:paraId="45D05F02"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16" w:type="dxa"/>
            <w:vAlign w:val="center"/>
          </w:tcPr>
          <w:p w14:paraId="45D05F03"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93" w:type="dxa"/>
            <w:vAlign w:val="center"/>
          </w:tcPr>
          <w:p w14:paraId="45D05F04"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w:t>
            </w:r>
          </w:p>
        </w:tc>
      </w:tr>
    </w:tbl>
    <w:p w14:paraId="45D05F06" w14:textId="77777777" w:rsidR="00496804" w:rsidRDefault="00496804">
      <w:pPr>
        <w:pStyle w:val="tekst"/>
        <w:spacing w:line="240" w:lineRule="auto"/>
        <w:rPr>
          <w:rFonts w:ascii="Times New Roman" w:hAnsi="Times New Roman" w:cs="Times New Roman"/>
          <w:b/>
          <w:bCs/>
          <w:sz w:val="24"/>
          <w:szCs w:val="24"/>
        </w:rPr>
      </w:pPr>
    </w:p>
    <w:p w14:paraId="45D05F07" w14:textId="77777777" w:rsidR="00496804" w:rsidRDefault="0037359D">
      <w:pPr>
        <w:spacing w:line="240" w:lineRule="auto"/>
        <w:jc w:val="left"/>
        <w:rPr>
          <w:rFonts w:ascii="Times New Roman" w:hAnsi="Times New Roman"/>
          <w:sz w:val="24"/>
        </w:rPr>
      </w:pPr>
      <w:r>
        <w:rPr>
          <w:rFonts w:ascii="Times New Roman" w:hAnsi="Times New Roman"/>
          <w:sz w:val="24"/>
        </w:rPr>
        <w:lastRenderedPageBreak/>
        <w:br w:type="page"/>
      </w:r>
    </w:p>
    <w:p w14:paraId="45D05F08" w14:textId="77777777" w:rsidR="00496804" w:rsidRDefault="0037359D">
      <w:pPr>
        <w:pStyle w:val="tekst"/>
        <w:shd w:val="clear" w:color="auto" w:fill="FFCCA6" w:themeFill="accent5" w:themeFillTint="66"/>
        <w:spacing w:line="240" w:lineRule="auto"/>
        <w:ind w:left="1985" w:hanging="1985"/>
        <w:rPr>
          <w:rFonts w:ascii="Times New Roman" w:hAnsi="Times New Roman" w:cs="Times New Roman"/>
          <w:b/>
          <w:bCs/>
          <w:sz w:val="24"/>
          <w:szCs w:val="24"/>
        </w:rPr>
      </w:pPr>
      <w:r>
        <w:rPr>
          <w:rFonts w:ascii="Times New Roman" w:hAnsi="Times New Roman" w:cs="Times New Roman"/>
          <w:b/>
          <w:bCs/>
          <w:sz w:val="24"/>
          <w:szCs w:val="24"/>
        </w:rPr>
        <w:lastRenderedPageBreak/>
        <w:t>POSEBNI CILJ 3.</w:t>
      </w:r>
      <w:r>
        <w:rPr>
          <w:rFonts w:ascii="Times New Roman" w:hAnsi="Times New Roman" w:cs="Times New Roman"/>
          <w:b/>
          <w:bCs/>
          <w:sz w:val="24"/>
          <w:szCs w:val="24"/>
        </w:rPr>
        <w:tab/>
        <w:t>VISOKA RAZINA ZNANJA I DRUŠTVENE SVIJESTI O KRUŽNOM GOSPODARENJU PROSTOROM I ZGRADAMA</w:t>
      </w:r>
    </w:p>
    <w:p w14:paraId="45D05F09" w14:textId="77777777" w:rsidR="00496804" w:rsidRDefault="00496804">
      <w:pPr>
        <w:pStyle w:val="tekst"/>
        <w:spacing w:line="240" w:lineRule="auto"/>
        <w:rPr>
          <w:rFonts w:ascii="Times New Roman" w:hAnsi="Times New Roman" w:cs="Times New Roman"/>
          <w:b/>
          <w:bCs/>
          <w:sz w:val="24"/>
          <w:szCs w:val="24"/>
        </w:rPr>
      </w:pPr>
    </w:p>
    <w:p w14:paraId="45D05F0A"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3.1. </w:t>
      </w:r>
    </w:p>
    <w:p w14:paraId="45D05F0B"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sz w:val="24"/>
          <w:szCs w:val="24"/>
        </w:rPr>
        <w:t xml:space="preserve">Afirmacija i informiranje javnosti o </w:t>
      </w:r>
      <w:r>
        <w:rPr>
          <w:rFonts w:ascii="Times New Roman" w:hAnsi="Times New Roman" w:cs="Times New Roman"/>
          <w:b/>
          <w:bCs/>
          <w:sz w:val="24"/>
          <w:szCs w:val="24"/>
        </w:rPr>
        <w:t>kružnom gospodarenju prostorom i zgradama</w:t>
      </w:r>
    </w:p>
    <w:p w14:paraId="45D05F0C" w14:textId="77777777" w:rsidR="00496804" w:rsidRDefault="00496804">
      <w:pPr>
        <w:pStyle w:val="tekst"/>
        <w:spacing w:line="240" w:lineRule="auto"/>
        <w:rPr>
          <w:rFonts w:ascii="Times New Roman" w:hAnsi="Times New Roman" w:cs="Times New Roman"/>
          <w:sz w:val="24"/>
          <w:szCs w:val="24"/>
        </w:rPr>
      </w:pPr>
    </w:p>
    <w:p w14:paraId="45D05F0D" w14:textId="222BDE1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Provedbom aktivnosti u okviru predmetne mjere nastoji se informirati cjelokupnu javnost o značaju kružnog gospodarenja prostorom i zgradama i njegovim pozitivnim gospodarskim, društvenim i okolišnim aspektima te podići svijest o važnosti provođenja projekata i ulaganja u tom području. Pritom se nastoji oformiti sustav informiranja kojim bi se, kroz svakodnevne aktivnosti i obrazovanje, javnost informirala o pozitivnim aspektima kružnog gospodarenja prostorom i zgradama na brojne odrednice života i rada u urbanom području.</w:t>
      </w:r>
    </w:p>
    <w:p w14:paraId="45D05F0E" w14:textId="77777777" w:rsidR="00496804" w:rsidRDefault="00496804">
      <w:pPr>
        <w:pStyle w:val="tekst"/>
        <w:spacing w:line="240" w:lineRule="auto"/>
        <w:rPr>
          <w:rFonts w:ascii="Times New Roman" w:hAnsi="Times New Roman" w:cs="Times New Roman"/>
          <w:sz w:val="24"/>
          <w:szCs w:val="24"/>
        </w:rPr>
      </w:pPr>
    </w:p>
    <w:p w14:paraId="45D05F0F"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Aktivnosti: </w:t>
      </w:r>
    </w:p>
    <w:p w14:paraId="45D05F10"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Izrada trogodišnjeg plana / programa / strategije afirmacije, informiranja javnosti i edukacije o kružnom gospodarenju prostorom i zgradama (komunikacijska strategija i program afirmacije i edukacije)</w:t>
      </w:r>
    </w:p>
    <w:p w14:paraId="45D05F11" w14:textId="050A9823"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 xml:space="preserve">Informiranje putem </w:t>
      </w:r>
      <w:r w:rsidR="007579DA">
        <w:rPr>
          <w:rFonts w:ascii="Times New Roman" w:hAnsi="Times New Roman"/>
          <w:b w:val="0"/>
          <w:bCs/>
          <w:sz w:val="24"/>
        </w:rPr>
        <w:t>mrežne</w:t>
      </w:r>
      <w:r>
        <w:rPr>
          <w:rFonts w:ascii="Times New Roman" w:hAnsi="Times New Roman"/>
          <w:b w:val="0"/>
          <w:bCs/>
          <w:sz w:val="24"/>
        </w:rPr>
        <w:t xml:space="preserve"> stranice ministarstva zaduženog za provedbu Programa razvoja KG </w:t>
      </w:r>
    </w:p>
    <w:p w14:paraId="45D05F12"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Informiranje putem sredstava javnog priopćavanja, kroz stručne časopise, medije i društvene mreže te na povezanim konferencijama, znanstvenim skupovima i sl.</w:t>
      </w:r>
    </w:p>
    <w:p w14:paraId="45D05F13"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Izrada tiskanog info materijala</w:t>
      </w:r>
    </w:p>
    <w:p w14:paraId="45D05F14"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Održavanje informativnih radionica</w:t>
      </w:r>
    </w:p>
    <w:p w14:paraId="45D05F15" w14:textId="77777777" w:rsidR="00496804" w:rsidRDefault="00496804">
      <w:pPr>
        <w:pStyle w:val="tekst"/>
        <w:spacing w:line="240" w:lineRule="auto"/>
        <w:ind w:left="709" w:hanging="709"/>
        <w:rPr>
          <w:rFonts w:ascii="Times New Roman" w:hAnsi="Times New Roman" w:cs="Times New Roman"/>
          <w:sz w:val="24"/>
          <w:szCs w:val="24"/>
        </w:rPr>
      </w:pPr>
    </w:p>
    <w:p w14:paraId="45D05F16" w14:textId="77777777" w:rsidR="00496804" w:rsidRDefault="0037359D">
      <w:pPr>
        <w:spacing w:line="240" w:lineRule="auto"/>
        <w:rPr>
          <w:rFonts w:ascii="Times New Roman" w:hAnsi="Times New Roman"/>
          <w:sz w:val="24"/>
        </w:rPr>
      </w:pPr>
      <w:r>
        <w:rPr>
          <w:rFonts w:ascii="Times New Roman" w:hAnsi="Times New Roman"/>
          <w:i/>
          <w:iCs/>
          <w:sz w:val="24"/>
        </w:rPr>
        <w:t>Tablica 24. Prikaz pokazatelja rezultata provedbe mjere 3.1.</w:t>
      </w:r>
    </w:p>
    <w:tbl>
      <w:tblPr>
        <w:tblStyle w:val="Reetkatablice4"/>
        <w:tblW w:w="0" w:type="auto"/>
        <w:tblLook w:val="04A0" w:firstRow="1" w:lastRow="0" w:firstColumn="1" w:lastColumn="0" w:noHBand="0" w:noVBand="1"/>
      </w:tblPr>
      <w:tblGrid>
        <w:gridCol w:w="4524"/>
        <w:gridCol w:w="1414"/>
        <w:gridCol w:w="1699"/>
        <w:gridCol w:w="1985"/>
      </w:tblGrid>
      <w:tr w:rsidR="00496804" w14:paraId="45D05F1B" w14:textId="77777777">
        <w:tc>
          <w:tcPr>
            <w:tcW w:w="4524" w:type="dxa"/>
            <w:shd w:val="clear" w:color="auto" w:fill="FFCCA6" w:themeFill="accent5" w:themeFillTint="66"/>
          </w:tcPr>
          <w:p w14:paraId="45D05F17"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F1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99" w:type="dxa"/>
            <w:shd w:val="clear" w:color="auto" w:fill="FFCCA6" w:themeFill="accent5" w:themeFillTint="66"/>
            <w:vAlign w:val="center"/>
          </w:tcPr>
          <w:p w14:paraId="45D05F1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5" w:type="dxa"/>
            <w:shd w:val="clear" w:color="auto" w:fill="FFCCA6" w:themeFill="accent5" w:themeFillTint="66"/>
          </w:tcPr>
          <w:p w14:paraId="45D05F1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20" w14:textId="77777777">
        <w:tc>
          <w:tcPr>
            <w:tcW w:w="4524" w:type="dxa"/>
            <w:vAlign w:val="center"/>
          </w:tcPr>
          <w:p w14:paraId="45D05F1C" w14:textId="027B28FF"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Ukupno objave i priopćenja vezana uz temu kružnog gospodarenja prostorom i zgradama (</w:t>
            </w:r>
            <w:r w:rsidR="007579DA">
              <w:rPr>
                <w:rFonts w:ascii="Times New Roman" w:eastAsia="Calibri" w:hAnsi="Times New Roman"/>
                <w:sz w:val="24"/>
                <w:lang w:eastAsia="en-US"/>
              </w:rPr>
              <w:t>mrežna</w:t>
            </w:r>
            <w:r>
              <w:rPr>
                <w:rFonts w:ascii="Times New Roman" w:eastAsia="Calibri" w:hAnsi="Times New Roman"/>
                <w:sz w:val="24"/>
                <w:lang w:eastAsia="en-US"/>
              </w:rPr>
              <w:t xml:space="preserve"> stranica i sredstva javnog priopćavanja)</w:t>
            </w:r>
          </w:p>
        </w:tc>
        <w:tc>
          <w:tcPr>
            <w:tcW w:w="1414" w:type="dxa"/>
            <w:vAlign w:val="center"/>
          </w:tcPr>
          <w:p w14:paraId="45D05F1D"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99" w:type="dxa"/>
            <w:vAlign w:val="center"/>
          </w:tcPr>
          <w:p w14:paraId="45D05F1E"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5" w:type="dxa"/>
            <w:vAlign w:val="center"/>
          </w:tcPr>
          <w:p w14:paraId="45D05F1F"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200</w:t>
            </w:r>
          </w:p>
        </w:tc>
      </w:tr>
      <w:tr w:rsidR="00496804" w14:paraId="45D05F25" w14:textId="77777777">
        <w:tc>
          <w:tcPr>
            <w:tcW w:w="4524" w:type="dxa"/>
            <w:vAlign w:val="center"/>
          </w:tcPr>
          <w:p w14:paraId="45D05F21"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Sudionici informativnih radionica, konferencija i tematskih skupova na temu kružnog gospodarenja prostorom i zgradama</w:t>
            </w:r>
          </w:p>
        </w:tc>
        <w:tc>
          <w:tcPr>
            <w:tcW w:w="1414" w:type="dxa"/>
            <w:vAlign w:val="center"/>
          </w:tcPr>
          <w:p w14:paraId="45D05F22"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99" w:type="dxa"/>
            <w:vAlign w:val="center"/>
          </w:tcPr>
          <w:p w14:paraId="45D05F23"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5" w:type="dxa"/>
            <w:vAlign w:val="center"/>
          </w:tcPr>
          <w:p w14:paraId="45D05F24"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4.000</w:t>
            </w:r>
          </w:p>
        </w:tc>
      </w:tr>
    </w:tbl>
    <w:p w14:paraId="45D05F26" w14:textId="77777777" w:rsidR="00496804" w:rsidRDefault="00496804">
      <w:pPr>
        <w:pStyle w:val="tekst"/>
        <w:spacing w:line="240" w:lineRule="auto"/>
        <w:rPr>
          <w:rFonts w:ascii="Times New Roman" w:hAnsi="Times New Roman" w:cs="Times New Roman"/>
          <w:sz w:val="24"/>
          <w:szCs w:val="24"/>
        </w:rPr>
      </w:pPr>
    </w:p>
    <w:p w14:paraId="45D05F27" w14:textId="77777777" w:rsidR="00496804" w:rsidRDefault="00496804">
      <w:pPr>
        <w:pStyle w:val="tekst"/>
        <w:spacing w:line="240" w:lineRule="auto"/>
        <w:rPr>
          <w:rFonts w:ascii="Times New Roman" w:hAnsi="Times New Roman" w:cs="Times New Roman"/>
          <w:sz w:val="24"/>
          <w:szCs w:val="24"/>
        </w:rPr>
      </w:pPr>
    </w:p>
    <w:p w14:paraId="45D05F2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3.2. </w:t>
      </w:r>
    </w:p>
    <w:p w14:paraId="45D05F29"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Edukacija o kružnom gospodarenju prostorom i zgradama</w:t>
      </w:r>
    </w:p>
    <w:p w14:paraId="45D05F2A" w14:textId="77777777" w:rsidR="00496804" w:rsidRDefault="00496804">
      <w:pPr>
        <w:spacing w:line="240" w:lineRule="auto"/>
        <w:rPr>
          <w:rFonts w:ascii="Times New Roman" w:hAnsi="Times New Roman"/>
          <w:sz w:val="24"/>
        </w:rPr>
      </w:pPr>
    </w:p>
    <w:p w14:paraId="45D05F2B" w14:textId="77777777" w:rsidR="00496804" w:rsidRDefault="0037359D">
      <w:pPr>
        <w:spacing w:line="240" w:lineRule="auto"/>
        <w:rPr>
          <w:rFonts w:ascii="Times New Roman" w:hAnsi="Times New Roman"/>
          <w:sz w:val="24"/>
          <w:lang w:eastAsia="en-US"/>
        </w:rPr>
      </w:pPr>
      <w:r>
        <w:rPr>
          <w:rFonts w:ascii="Times New Roman" w:hAnsi="Times New Roman"/>
          <w:sz w:val="24"/>
        </w:rPr>
        <w:t xml:space="preserve">Kako bi se osigurala visoka razina znanja o kružnom gospodarenju prostorom i zgradama i posljedično kvalitetnije planiranje i provedba iste na lokalnoj razini, planira se provođenje edukativnih radionica i predavanja. Planira se organiziranje edukacija, stručnih skupova i znanstveno-istraživačkih radionica za stručnjake i nositelje razvoja na lokalnoj i područnoj razini u području kružnog gospodarenja prostorom i zgradama kojima se nastoje dodatno educirati za izradu kvalitetne strateške, planske, programske i tehničke dokumentacije. </w:t>
      </w:r>
    </w:p>
    <w:p w14:paraId="45D05F2C" w14:textId="77777777" w:rsidR="00496804" w:rsidRDefault="00496804">
      <w:pPr>
        <w:pStyle w:val="tekst"/>
        <w:spacing w:line="240" w:lineRule="auto"/>
        <w:rPr>
          <w:rFonts w:ascii="Times New Roman" w:hAnsi="Times New Roman" w:cs="Times New Roman"/>
          <w:sz w:val="24"/>
          <w:szCs w:val="24"/>
        </w:rPr>
      </w:pPr>
    </w:p>
    <w:p w14:paraId="45D05F2D" w14:textId="77777777" w:rsidR="00496804" w:rsidRDefault="00496804">
      <w:pPr>
        <w:pStyle w:val="tekst"/>
        <w:spacing w:line="240" w:lineRule="auto"/>
        <w:rPr>
          <w:rFonts w:ascii="Times New Roman" w:hAnsi="Times New Roman" w:cs="Times New Roman"/>
          <w:sz w:val="24"/>
          <w:szCs w:val="24"/>
        </w:rPr>
      </w:pPr>
    </w:p>
    <w:p w14:paraId="45D05F2E" w14:textId="77777777" w:rsidR="00496804" w:rsidRDefault="00496804">
      <w:pPr>
        <w:pStyle w:val="tekst"/>
        <w:spacing w:line="240" w:lineRule="auto"/>
        <w:rPr>
          <w:rFonts w:ascii="Times New Roman" w:hAnsi="Times New Roman" w:cs="Times New Roman"/>
          <w:sz w:val="24"/>
          <w:szCs w:val="24"/>
        </w:rPr>
      </w:pPr>
    </w:p>
    <w:p w14:paraId="45D05F2F"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Aktivnosti: </w:t>
      </w:r>
    </w:p>
    <w:p w14:paraId="45D05F30"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Organiziranje predavanja u sklopu stručnog usavršavanja</w:t>
      </w:r>
    </w:p>
    <w:p w14:paraId="45D05F31"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 xml:space="preserve">Održavanje edukativnih i provedbenih radionica </w:t>
      </w:r>
    </w:p>
    <w:p w14:paraId="45D05F32"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Uključivanje akademske i znanstveno-stručne zajednice u edukaciju i afirmaciju kružnog gospodarenja prostorom i zgradama</w:t>
      </w:r>
    </w:p>
    <w:p w14:paraId="45D05F33"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Sudjelovanje na inozemnim skupovima i inozemna studijska putovanja u svrhu razmjene znanja vezano uz razvoj kružnog gospodarenja prostorom i zgradama</w:t>
      </w:r>
    </w:p>
    <w:p w14:paraId="45D05F34"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Izrada priručnika za kružno gospodarenje prostorom i zgradama s detaljnim objašnjenjima tipologije i primjera dobre prakse s tehničkim rješenjima i uputama za projektante</w:t>
      </w:r>
    </w:p>
    <w:p w14:paraId="45D05F35"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 xml:space="preserve">Organiziranje seminara za stručnjake s ciljem razmjene znanja i iskustva te educiranja na temelju primjera dobre prakse </w:t>
      </w:r>
    </w:p>
    <w:p w14:paraId="45D05F36" w14:textId="77777777" w:rsidR="00496804" w:rsidRDefault="00496804">
      <w:pPr>
        <w:pStyle w:val="tekst"/>
        <w:spacing w:line="240" w:lineRule="auto"/>
        <w:rPr>
          <w:rFonts w:ascii="Times New Roman" w:hAnsi="Times New Roman" w:cs="Times New Roman"/>
          <w:sz w:val="24"/>
          <w:szCs w:val="24"/>
        </w:rPr>
      </w:pPr>
    </w:p>
    <w:p w14:paraId="45D05F37" w14:textId="77777777" w:rsidR="00496804" w:rsidRDefault="0037359D">
      <w:pPr>
        <w:spacing w:line="240" w:lineRule="auto"/>
        <w:rPr>
          <w:rFonts w:ascii="Times New Roman" w:hAnsi="Times New Roman"/>
          <w:sz w:val="24"/>
        </w:rPr>
      </w:pPr>
      <w:r>
        <w:rPr>
          <w:rFonts w:ascii="Times New Roman" w:hAnsi="Times New Roman"/>
          <w:i/>
          <w:iCs/>
          <w:sz w:val="24"/>
        </w:rPr>
        <w:t>Tablica 25. Prikaz pokazatelja rezultata provedbe mjere 3.2.</w:t>
      </w:r>
    </w:p>
    <w:tbl>
      <w:tblPr>
        <w:tblStyle w:val="Reetkatablice5"/>
        <w:tblW w:w="0" w:type="auto"/>
        <w:tblLook w:val="04A0" w:firstRow="1" w:lastRow="0" w:firstColumn="1" w:lastColumn="0" w:noHBand="0" w:noVBand="1"/>
      </w:tblPr>
      <w:tblGrid>
        <w:gridCol w:w="4588"/>
        <w:gridCol w:w="1404"/>
        <w:gridCol w:w="1663"/>
        <w:gridCol w:w="1967"/>
      </w:tblGrid>
      <w:tr w:rsidR="00496804" w14:paraId="45D05F3C" w14:textId="77777777">
        <w:tc>
          <w:tcPr>
            <w:tcW w:w="4588" w:type="dxa"/>
            <w:shd w:val="clear" w:color="auto" w:fill="FFCCA6" w:themeFill="accent5" w:themeFillTint="66"/>
          </w:tcPr>
          <w:p w14:paraId="45D05F38"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04" w:type="dxa"/>
            <w:shd w:val="clear" w:color="auto" w:fill="FFCCA6" w:themeFill="accent5" w:themeFillTint="66"/>
          </w:tcPr>
          <w:p w14:paraId="45D05F3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63" w:type="dxa"/>
            <w:shd w:val="clear" w:color="auto" w:fill="FFCCA6" w:themeFill="accent5" w:themeFillTint="66"/>
            <w:vAlign w:val="center"/>
          </w:tcPr>
          <w:p w14:paraId="45D05F3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67" w:type="dxa"/>
            <w:shd w:val="clear" w:color="auto" w:fill="FFCCA6" w:themeFill="accent5" w:themeFillTint="66"/>
          </w:tcPr>
          <w:p w14:paraId="45D05F3B"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41" w14:textId="77777777">
        <w:tc>
          <w:tcPr>
            <w:tcW w:w="4588" w:type="dxa"/>
            <w:vAlign w:val="center"/>
          </w:tcPr>
          <w:p w14:paraId="45D05F3D"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Stručnjaci i predstavnici lokalne/regionalne samouprave koji su sudjelovali na edukativnim događanjima</w:t>
            </w:r>
          </w:p>
        </w:tc>
        <w:tc>
          <w:tcPr>
            <w:tcW w:w="1404" w:type="dxa"/>
            <w:vAlign w:val="center"/>
          </w:tcPr>
          <w:p w14:paraId="45D05F3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63" w:type="dxa"/>
            <w:vAlign w:val="center"/>
          </w:tcPr>
          <w:p w14:paraId="45D05F3F"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67" w:type="dxa"/>
            <w:vAlign w:val="center"/>
          </w:tcPr>
          <w:p w14:paraId="45D05F40"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1.000</w:t>
            </w:r>
          </w:p>
        </w:tc>
      </w:tr>
    </w:tbl>
    <w:p w14:paraId="45D05F42" w14:textId="77777777" w:rsidR="00496804" w:rsidRDefault="00496804">
      <w:pPr>
        <w:pStyle w:val="tekst"/>
        <w:spacing w:line="240" w:lineRule="auto"/>
        <w:rPr>
          <w:rFonts w:ascii="Times New Roman" w:hAnsi="Times New Roman" w:cs="Times New Roman"/>
          <w:sz w:val="24"/>
          <w:szCs w:val="24"/>
        </w:rPr>
      </w:pPr>
    </w:p>
    <w:p w14:paraId="45D05F43"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F44"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19" w:name="_Toc38560825"/>
      <w:bookmarkStart w:id="220" w:name="_Toc51851656"/>
      <w:bookmarkEnd w:id="164"/>
      <w:r>
        <w:rPr>
          <w:rFonts w:ascii="Times New Roman" w:hAnsi="Times New Roman" w:cs="Times New Roman"/>
          <w:sz w:val="24"/>
          <w:szCs w:val="24"/>
        </w:rPr>
        <w:lastRenderedPageBreak/>
        <w:t xml:space="preserve">TERMINSKI PLAN PROVEDBE </w:t>
      </w:r>
      <w:bookmarkEnd w:id="219"/>
      <w:r>
        <w:rPr>
          <w:rFonts w:ascii="Times New Roman" w:hAnsi="Times New Roman" w:cs="Times New Roman"/>
          <w:sz w:val="24"/>
          <w:szCs w:val="24"/>
        </w:rPr>
        <w:t>PROGRAMA</w:t>
      </w:r>
      <w:bookmarkEnd w:id="220"/>
    </w:p>
    <w:p w14:paraId="45D05F45" w14:textId="77777777" w:rsidR="00496804" w:rsidRDefault="00496804">
      <w:pPr>
        <w:spacing w:line="240" w:lineRule="auto"/>
        <w:rPr>
          <w:rFonts w:ascii="Times New Roman" w:hAnsi="Times New Roman"/>
          <w:sz w:val="24"/>
        </w:rPr>
      </w:pPr>
    </w:p>
    <w:p w14:paraId="45D05F46" w14:textId="77777777" w:rsidR="00496804" w:rsidRDefault="0037359D">
      <w:pPr>
        <w:spacing w:line="240" w:lineRule="auto"/>
        <w:rPr>
          <w:rFonts w:ascii="Times New Roman" w:hAnsi="Times New Roman"/>
          <w:b/>
          <w:bCs/>
          <w:i/>
          <w:iCs/>
          <w:sz w:val="24"/>
        </w:rPr>
      </w:pPr>
      <w:r>
        <w:rPr>
          <w:rFonts w:ascii="Times New Roman" w:hAnsi="Times New Roman"/>
          <w:i/>
          <w:iCs/>
          <w:sz w:val="24"/>
        </w:rPr>
        <w:t xml:space="preserve">Tablica 26. </w:t>
      </w:r>
      <w:r>
        <w:rPr>
          <w:rFonts w:ascii="Times New Roman" w:hAnsi="Times New Roman"/>
          <w:i/>
          <w:sz w:val="24"/>
        </w:rPr>
        <w:t>Terminski plan provedbe mjera u okviru Programa razvoja KG:</w:t>
      </w:r>
    </w:p>
    <w:tbl>
      <w:tblPr>
        <w:tblW w:w="5000" w:type="pct"/>
        <w:tblLook w:val="04A0" w:firstRow="1" w:lastRow="0" w:firstColumn="1" w:lastColumn="0" w:noHBand="0" w:noVBand="1"/>
      </w:tblPr>
      <w:tblGrid>
        <w:gridCol w:w="607"/>
        <w:gridCol w:w="2337"/>
        <w:gridCol w:w="667"/>
        <w:gridCol w:w="667"/>
        <w:gridCol w:w="668"/>
        <w:gridCol w:w="668"/>
        <w:gridCol w:w="668"/>
        <w:gridCol w:w="668"/>
        <w:gridCol w:w="668"/>
        <w:gridCol w:w="668"/>
        <w:gridCol w:w="668"/>
        <w:gridCol w:w="668"/>
      </w:tblGrid>
      <w:tr w:rsidR="00496804" w14:paraId="45D05F53" w14:textId="77777777">
        <w:trPr>
          <w:trHeight w:val="300"/>
        </w:trPr>
        <w:tc>
          <w:tcPr>
            <w:tcW w:w="607"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45D05F47"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R. BR.</w:t>
            </w:r>
          </w:p>
        </w:tc>
        <w:tc>
          <w:tcPr>
            <w:tcW w:w="2337" w:type="dxa"/>
            <w:tcBorders>
              <w:top w:val="nil"/>
              <w:left w:val="nil"/>
              <w:bottom w:val="single" w:sz="4" w:space="0" w:color="auto"/>
              <w:right w:val="single" w:sz="4" w:space="0" w:color="auto"/>
            </w:tcBorders>
            <w:shd w:val="clear" w:color="auto" w:fill="A6A6A6" w:themeFill="background1" w:themeFillShade="A6"/>
            <w:vAlign w:val="center"/>
          </w:tcPr>
          <w:p w14:paraId="45D05F48"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Naziv posebnog cilja/mjere</w:t>
            </w:r>
          </w:p>
        </w:tc>
        <w:tc>
          <w:tcPr>
            <w:tcW w:w="667" w:type="dxa"/>
            <w:tcBorders>
              <w:top w:val="nil"/>
              <w:left w:val="nil"/>
              <w:bottom w:val="single" w:sz="4" w:space="0" w:color="auto"/>
              <w:right w:val="single" w:sz="4" w:space="0" w:color="auto"/>
            </w:tcBorders>
            <w:shd w:val="clear" w:color="auto" w:fill="A6A6A6" w:themeFill="background1" w:themeFillShade="A6"/>
            <w:noWrap/>
            <w:vAlign w:val="center"/>
          </w:tcPr>
          <w:p w14:paraId="45D05F49"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2021.</w:t>
            </w:r>
          </w:p>
        </w:tc>
        <w:tc>
          <w:tcPr>
            <w:tcW w:w="667" w:type="dxa"/>
            <w:tcBorders>
              <w:top w:val="nil"/>
              <w:left w:val="nil"/>
              <w:bottom w:val="single" w:sz="4" w:space="0" w:color="auto"/>
              <w:right w:val="single" w:sz="4" w:space="0" w:color="auto"/>
            </w:tcBorders>
            <w:shd w:val="clear" w:color="auto" w:fill="A6A6A6" w:themeFill="background1" w:themeFillShade="A6"/>
            <w:noWrap/>
            <w:vAlign w:val="center"/>
          </w:tcPr>
          <w:p w14:paraId="45D05F4A"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2022.</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B"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2023.</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C"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2024.</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D"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2025.</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E"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2026.</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F"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2027.</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0"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2028.</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1"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2029.</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2"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2030.</w:t>
            </w:r>
          </w:p>
        </w:tc>
      </w:tr>
      <w:tr w:rsidR="00496804" w14:paraId="45D05F60"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54"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55"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Razvoj sustava kružnog gospodarenja prostorom i zgradama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56"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5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F" w14:textId="77777777" w:rsidR="00496804" w:rsidRDefault="00496804">
            <w:pPr>
              <w:spacing w:line="240" w:lineRule="auto"/>
              <w:rPr>
                <w:rFonts w:ascii="Times New Roman" w:hAnsi="Times New Roman"/>
                <w:szCs w:val="22"/>
                <w:lang w:eastAsia="hr-HR"/>
              </w:rPr>
            </w:pPr>
          </w:p>
        </w:tc>
      </w:tr>
      <w:tr w:rsidR="00496804" w14:paraId="45D05F6D"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61"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1.1.</w:t>
            </w:r>
          </w:p>
        </w:tc>
        <w:tc>
          <w:tcPr>
            <w:tcW w:w="2337" w:type="dxa"/>
            <w:tcBorders>
              <w:top w:val="nil"/>
              <w:left w:val="nil"/>
              <w:bottom w:val="single" w:sz="4" w:space="0" w:color="auto"/>
              <w:right w:val="single" w:sz="4" w:space="0" w:color="auto"/>
            </w:tcBorders>
            <w:shd w:val="clear" w:color="auto" w:fill="auto"/>
            <w:vAlign w:val="center"/>
          </w:tcPr>
          <w:p w14:paraId="45D05F62"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Evidentiranje podataka kružnog gospodarenja prostorom i zgradama u RH</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63"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64"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9"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A"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C" w14:textId="77777777" w:rsidR="00496804" w:rsidRDefault="00496804">
            <w:pPr>
              <w:spacing w:line="240" w:lineRule="auto"/>
              <w:rPr>
                <w:rFonts w:ascii="Times New Roman" w:hAnsi="Times New Roman"/>
                <w:szCs w:val="22"/>
                <w:lang w:eastAsia="hr-HR"/>
              </w:rPr>
            </w:pPr>
          </w:p>
        </w:tc>
      </w:tr>
      <w:tr w:rsidR="00496804" w14:paraId="45D05F7A"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6E"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1.2.</w:t>
            </w:r>
          </w:p>
        </w:tc>
        <w:tc>
          <w:tcPr>
            <w:tcW w:w="2337" w:type="dxa"/>
            <w:tcBorders>
              <w:top w:val="nil"/>
              <w:left w:val="nil"/>
              <w:bottom w:val="single" w:sz="4" w:space="0" w:color="auto"/>
              <w:right w:val="single" w:sz="4" w:space="0" w:color="auto"/>
            </w:tcBorders>
            <w:shd w:val="clear" w:color="auto" w:fill="auto"/>
            <w:vAlign w:val="center"/>
          </w:tcPr>
          <w:p w14:paraId="45D05F6F" w14:textId="49E06D8B" w:rsidR="00496804" w:rsidRDefault="0037359D">
            <w:pPr>
              <w:spacing w:line="240" w:lineRule="auto"/>
              <w:rPr>
                <w:rFonts w:ascii="Times New Roman" w:hAnsi="Times New Roman"/>
                <w:szCs w:val="22"/>
                <w:lang w:eastAsia="hr-HR"/>
              </w:rPr>
            </w:pPr>
            <w:r>
              <w:rPr>
                <w:rFonts w:ascii="Times New Roman" w:hAnsi="Times New Roman"/>
                <w:szCs w:val="22"/>
                <w:lang w:eastAsia="hr-HR"/>
              </w:rPr>
              <w:t>Osiguranje preduvjeta za razvoj kružnog gospodarenja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0"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7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7"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8"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9" w14:textId="77777777" w:rsidR="00496804" w:rsidRDefault="00496804">
            <w:pPr>
              <w:spacing w:line="240" w:lineRule="auto"/>
              <w:rPr>
                <w:rFonts w:ascii="Times New Roman" w:hAnsi="Times New Roman"/>
                <w:szCs w:val="22"/>
                <w:lang w:eastAsia="hr-HR"/>
              </w:rPr>
            </w:pPr>
          </w:p>
        </w:tc>
      </w:tr>
      <w:tr w:rsidR="00496804" w14:paraId="45D05F87"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7B"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1.3.</w:t>
            </w:r>
          </w:p>
        </w:tc>
        <w:tc>
          <w:tcPr>
            <w:tcW w:w="2337" w:type="dxa"/>
            <w:tcBorders>
              <w:top w:val="nil"/>
              <w:left w:val="nil"/>
              <w:bottom w:val="single" w:sz="4" w:space="0" w:color="auto"/>
              <w:right w:val="single" w:sz="4" w:space="0" w:color="auto"/>
            </w:tcBorders>
            <w:shd w:val="clear" w:color="auto" w:fill="auto"/>
            <w:vAlign w:val="center"/>
          </w:tcPr>
          <w:p w14:paraId="45D05F7C"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Izrada strateških dokumenata razvoja kružnog gospodarenja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D"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7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6" w14:textId="77777777" w:rsidR="00496804" w:rsidRDefault="00496804">
            <w:pPr>
              <w:spacing w:line="240" w:lineRule="auto"/>
              <w:rPr>
                <w:rFonts w:ascii="Times New Roman" w:hAnsi="Times New Roman"/>
                <w:szCs w:val="22"/>
                <w:lang w:eastAsia="hr-HR"/>
              </w:rPr>
            </w:pPr>
          </w:p>
        </w:tc>
      </w:tr>
      <w:tr w:rsidR="00496804" w14:paraId="45D05F94"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88"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1.4.</w:t>
            </w:r>
          </w:p>
        </w:tc>
        <w:tc>
          <w:tcPr>
            <w:tcW w:w="2337" w:type="dxa"/>
            <w:tcBorders>
              <w:top w:val="nil"/>
              <w:left w:val="nil"/>
              <w:bottom w:val="single" w:sz="4" w:space="0" w:color="auto"/>
              <w:right w:val="single" w:sz="4" w:space="0" w:color="auto"/>
            </w:tcBorders>
            <w:shd w:val="clear" w:color="auto" w:fill="auto"/>
            <w:vAlign w:val="center"/>
          </w:tcPr>
          <w:p w14:paraId="45D05F89"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Razvoj i izrada digitalne baze projekata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8A"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8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3" w14:textId="77777777" w:rsidR="00496804" w:rsidRDefault="00496804">
            <w:pPr>
              <w:spacing w:line="240" w:lineRule="auto"/>
              <w:rPr>
                <w:rFonts w:ascii="Times New Roman" w:hAnsi="Times New Roman"/>
                <w:szCs w:val="22"/>
                <w:lang w:eastAsia="hr-HR"/>
              </w:rPr>
            </w:pPr>
          </w:p>
        </w:tc>
      </w:tr>
      <w:tr w:rsidR="00496804" w14:paraId="45D05FA1" w14:textId="77777777">
        <w:trPr>
          <w:trHeight w:val="499"/>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95"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1.5.</w:t>
            </w:r>
          </w:p>
        </w:tc>
        <w:tc>
          <w:tcPr>
            <w:tcW w:w="2337" w:type="dxa"/>
            <w:tcBorders>
              <w:top w:val="nil"/>
              <w:left w:val="nil"/>
              <w:bottom w:val="single" w:sz="4" w:space="0" w:color="auto"/>
              <w:right w:val="single" w:sz="4" w:space="0" w:color="auto"/>
            </w:tcBorders>
            <w:shd w:val="clear" w:color="auto" w:fill="auto"/>
            <w:vAlign w:val="center"/>
          </w:tcPr>
          <w:p w14:paraId="45D05F96"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Unaprjeđenje međusektorske i međunarodne suradnje</w:t>
            </w:r>
          </w:p>
        </w:tc>
        <w:tc>
          <w:tcPr>
            <w:tcW w:w="667" w:type="dxa"/>
            <w:tcBorders>
              <w:top w:val="nil"/>
              <w:left w:val="nil"/>
              <w:bottom w:val="single" w:sz="4" w:space="0" w:color="auto"/>
              <w:right w:val="single" w:sz="4" w:space="0" w:color="auto"/>
            </w:tcBorders>
            <w:shd w:val="clear" w:color="auto" w:fill="FFCCA6" w:themeFill="accent5" w:themeFillTint="66"/>
            <w:vAlign w:val="center"/>
          </w:tcPr>
          <w:p w14:paraId="45D05F97" w14:textId="77777777" w:rsidR="00496804" w:rsidRDefault="00496804">
            <w:pPr>
              <w:spacing w:line="240" w:lineRule="auto"/>
              <w:jc w:val="left"/>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vAlign w:val="center"/>
          </w:tcPr>
          <w:p w14:paraId="45D05F98"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9"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A"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B"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C"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D"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E"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F"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A0" w14:textId="77777777" w:rsidR="00496804" w:rsidRDefault="00496804">
            <w:pPr>
              <w:spacing w:line="240" w:lineRule="auto"/>
              <w:jc w:val="left"/>
              <w:rPr>
                <w:rFonts w:ascii="Times New Roman" w:hAnsi="Times New Roman"/>
                <w:szCs w:val="22"/>
                <w:lang w:eastAsia="hr-HR"/>
              </w:rPr>
            </w:pPr>
          </w:p>
        </w:tc>
      </w:tr>
      <w:tr w:rsidR="00496804" w14:paraId="45D05FAE"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A2"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A3"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Kružna obnova nekorištenih prostora i zgrada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A4"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A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A"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D" w14:textId="77777777" w:rsidR="00496804" w:rsidRDefault="00496804">
            <w:pPr>
              <w:spacing w:line="240" w:lineRule="auto"/>
              <w:rPr>
                <w:rFonts w:ascii="Times New Roman" w:hAnsi="Times New Roman"/>
                <w:szCs w:val="22"/>
                <w:lang w:eastAsia="hr-HR"/>
              </w:rPr>
            </w:pPr>
          </w:p>
        </w:tc>
      </w:tr>
      <w:tr w:rsidR="00496804" w14:paraId="45D05FBB"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AF"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2.1.</w:t>
            </w:r>
          </w:p>
        </w:tc>
        <w:tc>
          <w:tcPr>
            <w:tcW w:w="2337" w:type="dxa"/>
            <w:tcBorders>
              <w:top w:val="nil"/>
              <w:left w:val="nil"/>
              <w:bottom w:val="single" w:sz="4" w:space="0" w:color="auto"/>
              <w:right w:val="single" w:sz="4" w:space="0" w:color="auto"/>
            </w:tcBorders>
            <w:shd w:val="clear" w:color="auto" w:fill="auto"/>
            <w:vAlign w:val="center"/>
          </w:tcPr>
          <w:p w14:paraId="45D05FB0"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Provedba pilot projekata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B1"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B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B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7"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8"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9"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A" w14:textId="77777777" w:rsidR="00496804" w:rsidRDefault="00496804">
            <w:pPr>
              <w:spacing w:line="240" w:lineRule="auto"/>
              <w:rPr>
                <w:rFonts w:ascii="Times New Roman" w:hAnsi="Times New Roman"/>
                <w:szCs w:val="22"/>
                <w:lang w:eastAsia="hr-HR"/>
              </w:rPr>
            </w:pPr>
          </w:p>
        </w:tc>
      </w:tr>
      <w:tr w:rsidR="00496804" w14:paraId="45D05FC8"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BC"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2.2.</w:t>
            </w:r>
          </w:p>
        </w:tc>
        <w:tc>
          <w:tcPr>
            <w:tcW w:w="2337" w:type="dxa"/>
            <w:tcBorders>
              <w:top w:val="nil"/>
              <w:left w:val="nil"/>
              <w:bottom w:val="single" w:sz="4" w:space="0" w:color="auto"/>
              <w:right w:val="single" w:sz="4" w:space="0" w:color="auto"/>
            </w:tcBorders>
            <w:shd w:val="clear" w:color="auto" w:fill="auto"/>
            <w:vAlign w:val="center"/>
          </w:tcPr>
          <w:p w14:paraId="45D05FBD"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Poticanje kružne obnove prostora i zgrada</w:t>
            </w:r>
          </w:p>
        </w:tc>
        <w:tc>
          <w:tcPr>
            <w:tcW w:w="667" w:type="dxa"/>
            <w:tcBorders>
              <w:top w:val="nil"/>
              <w:left w:val="nil"/>
              <w:bottom w:val="single" w:sz="4" w:space="0" w:color="auto"/>
              <w:right w:val="single" w:sz="4" w:space="0" w:color="auto"/>
            </w:tcBorders>
            <w:shd w:val="clear" w:color="auto" w:fill="auto"/>
            <w:noWrap/>
            <w:vAlign w:val="center"/>
          </w:tcPr>
          <w:p w14:paraId="45D05FBE"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auto"/>
            <w:noWrap/>
            <w:vAlign w:val="center"/>
          </w:tcPr>
          <w:p w14:paraId="45D05FB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7" w14:textId="77777777" w:rsidR="00496804" w:rsidRDefault="00496804">
            <w:pPr>
              <w:spacing w:line="240" w:lineRule="auto"/>
              <w:rPr>
                <w:rFonts w:ascii="Times New Roman" w:hAnsi="Times New Roman"/>
                <w:szCs w:val="22"/>
                <w:lang w:eastAsia="hr-HR"/>
              </w:rPr>
            </w:pPr>
          </w:p>
        </w:tc>
      </w:tr>
      <w:tr w:rsidR="00496804" w14:paraId="45D05FD5"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C9"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2.3.</w:t>
            </w:r>
          </w:p>
        </w:tc>
        <w:tc>
          <w:tcPr>
            <w:tcW w:w="2337" w:type="dxa"/>
            <w:tcBorders>
              <w:top w:val="nil"/>
              <w:left w:val="nil"/>
              <w:bottom w:val="single" w:sz="4" w:space="0" w:color="auto"/>
              <w:right w:val="single" w:sz="4" w:space="0" w:color="auto"/>
            </w:tcBorders>
            <w:shd w:val="clear" w:color="auto" w:fill="auto"/>
            <w:vAlign w:val="center"/>
          </w:tcPr>
          <w:p w14:paraId="45D05FCA"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Poticanje inovacija i razvoja u primjeni kružnog gospodarenja prostorom i zgradama</w:t>
            </w:r>
          </w:p>
        </w:tc>
        <w:tc>
          <w:tcPr>
            <w:tcW w:w="667" w:type="dxa"/>
            <w:tcBorders>
              <w:top w:val="nil"/>
              <w:left w:val="nil"/>
              <w:bottom w:val="single" w:sz="4" w:space="0" w:color="auto"/>
              <w:right w:val="single" w:sz="4" w:space="0" w:color="auto"/>
            </w:tcBorders>
            <w:shd w:val="clear" w:color="auto" w:fill="auto"/>
            <w:noWrap/>
            <w:vAlign w:val="center"/>
          </w:tcPr>
          <w:p w14:paraId="45D05FCB"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auto"/>
            <w:noWrap/>
            <w:vAlign w:val="center"/>
          </w:tcPr>
          <w:p w14:paraId="45D05FC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4" w14:textId="77777777" w:rsidR="00496804" w:rsidRDefault="00496804">
            <w:pPr>
              <w:spacing w:line="240" w:lineRule="auto"/>
              <w:rPr>
                <w:rFonts w:ascii="Times New Roman" w:hAnsi="Times New Roman"/>
                <w:szCs w:val="22"/>
                <w:lang w:eastAsia="hr-HR"/>
              </w:rPr>
            </w:pPr>
          </w:p>
        </w:tc>
      </w:tr>
      <w:tr w:rsidR="00496804" w14:paraId="45D05FE2"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D6"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D7"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Visoka razina znanja i društvene svijesti o kružnom gospodarenju prostorom i zgradama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D8"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D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C"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D"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E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E1" w14:textId="77777777" w:rsidR="00496804" w:rsidRDefault="00496804">
            <w:pPr>
              <w:spacing w:line="240" w:lineRule="auto"/>
              <w:rPr>
                <w:rFonts w:ascii="Times New Roman" w:hAnsi="Times New Roman"/>
                <w:szCs w:val="22"/>
                <w:lang w:eastAsia="hr-HR"/>
              </w:rPr>
            </w:pPr>
          </w:p>
        </w:tc>
      </w:tr>
      <w:tr w:rsidR="00496804" w14:paraId="45D05FEF"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E3"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3.1.</w:t>
            </w:r>
          </w:p>
        </w:tc>
        <w:tc>
          <w:tcPr>
            <w:tcW w:w="2337" w:type="dxa"/>
            <w:tcBorders>
              <w:top w:val="nil"/>
              <w:left w:val="nil"/>
              <w:bottom w:val="single" w:sz="4" w:space="0" w:color="auto"/>
              <w:right w:val="single" w:sz="4" w:space="0" w:color="auto"/>
            </w:tcBorders>
            <w:shd w:val="clear" w:color="auto" w:fill="auto"/>
            <w:vAlign w:val="center"/>
          </w:tcPr>
          <w:p w14:paraId="45D05FE4"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Afirmacija i informiranje javnosti o kružnom gospodarenju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E5"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E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C"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D"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E" w14:textId="77777777" w:rsidR="00496804" w:rsidRDefault="00496804">
            <w:pPr>
              <w:spacing w:line="240" w:lineRule="auto"/>
              <w:rPr>
                <w:rFonts w:ascii="Times New Roman" w:hAnsi="Times New Roman"/>
                <w:szCs w:val="22"/>
                <w:highlight w:val="yellow"/>
                <w:lang w:eastAsia="hr-HR"/>
              </w:rPr>
            </w:pPr>
          </w:p>
        </w:tc>
      </w:tr>
      <w:tr w:rsidR="00496804" w14:paraId="45D05FFC"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F0"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3.2.</w:t>
            </w:r>
          </w:p>
        </w:tc>
        <w:tc>
          <w:tcPr>
            <w:tcW w:w="2337" w:type="dxa"/>
            <w:tcBorders>
              <w:top w:val="nil"/>
              <w:left w:val="nil"/>
              <w:bottom w:val="single" w:sz="4" w:space="0" w:color="auto"/>
              <w:right w:val="single" w:sz="4" w:space="0" w:color="auto"/>
            </w:tcBorders>
            <w:shd w:val="clear" w:color="auto" w:fill="auto"/>
            <w:vAlign w:val="center"/>
          </w:tcPr>
          <w:p w14:paraId="45D05FF1"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Edukacija o kružnom gospodarenju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F2"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F3"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4"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B" w14:textId="77777777" w:rsidR="00496804" w:rsidRDefault="00496804">
            <w:pPr>
              <w:spacing w:line="240" w:lineRule="auto"/>
              <w:rPr>
                <w:rFonts w:ascii="Times New Roman" w:hAnsi="Times New Roman"/>
                <w:szCs w:val="22"/>
                <w:highlight w:val="yellow"/>
                <w:lang w:eastAsia="hr-HR"/>
              </w:rPr>
            </w:pPr>
          </w:p>
        </w:tc>
      </w:tr>
    </w:tbl>
    <w:p w14:paraId="45D05FFD" w14:textId="77777777" w:rsidR="00496804" w:rsidRDefault="00496804">
      <w:pPr>
        <w:spacing w:line="240" w:lineRule="auto"/>
        <w:rPr>
          <w:rFonts w:ascii="Times New Roman" w:hAnsi="Times New Roman"/>
          <w:sz w:val="24"/>
        </w:rPr>
      </w:pPr>
    </w:p>
    <w:p w14:paraId="45D05FFE" w14:textId="77777777" w:rsidR="00496804" w:rsidRDefault="0037359D">
      <w:pPr>
        <w:spacing w:line="240" w:lineRule="auto"/>
        <w:jc w:val="left"/>
        <w:rPr>
          <w:rFonts w:ascii="Times New Roman" w:hAnsi="Times New Roman"/>
          <w:sz w:val="24"/>
        </w:rPr>
        <w:sectPr w:rsidR="00496804">
          <w:pgSz w:w="11900" w:h="16840"/>
          <w:pgMar w:top="1701" w:right="1134" w:bottom="1134" w:left="1134" w:header="709" w:footer="289" w:gutter="0"/>
          <w:cols w:space="720"/>
          <w:docGrid w:linePitch="299"/>
        </w:sectPr>
      </w:pPr>
      <w:r>
        <w:rPr>
          <w:rFonts w:ascii="Times New Roman" w:hAnsi="Times New Roman"/>
          <w:sz w:val="24"/>
        </w:rPr>
        <w:br w:type="page"/>
      </w:r>
    </w:p>
    <w:p w14:paraId="45D05FFF" w14:textId="77777777" w:rsidR="00496804" w:rsidRDefault="00496804">
      <w:pPr>
        <w:spacing w:line="240" w:lineRule="auto"/>
        <w:jc w:val="left"/>
        <w:rPr>
          <w:rFonts w:ascii="Times New Roman" w:hAnsi="Times New Roman"/>
          <w:sz w:val="24"/>
        </w:rPr>
      </w:pPr>
    </w:p>
    <w:p w14:paraId="45D0600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21" w:name="_Toc38560826"/>
      <w:bookmarkStart w:id="222" w:name="_Toc51851657"/>
      <w:bookmarkStart w:id="223" w:name="_Toc30851614"/>
      <w:r>
        <w:rPr>
          <w:rFonts w:ascii="Times New Roman" w:hAnsi="Times New Roman" w:cs="Times New Roman"/>
          <w:sz w:val="24"/>
          <w:szCs w:val="24"/>
        </w:rPr>
        <w:t>INDIKATIVNI FINANCIJSKI PLAN</w:t>
      </w:r>
      <w:bookmarkEnd w:id="221"/>
      <w:bookmarkEnd w:id="222"/>
      <w:bookmarkEnd w:id="223"/>
    </w:p>
    <w:p w14:paraId="45D06001" w14:textId="77777777" w:rsidR="00496804" w:rsidRDefault="00496804">
      <w:pPr>
        <w:spacing w:line="240" w:lineRule="auto"/>
        <w:rPr>
          <w:rFonts w:ascii="Times New Roman" w:hAnsi="Times New Roman"/>
          <w:sz w:val="24"/>
        </w:rPr>
      </w:pPr>
    </w:p>
    <w:p w14:paraId="45D06002" w14:textId="73702069" w:rsidR="00496804" w:rsidRDefault="0037359D">
      <w:pPr>
        <w:spacing w:line="240" w:lineRule="auto"/>
        <w:rPr>
          <w:rFonts w:ascii="Times New Roman" w:hAnsi="Times New Roman"/>
          <w:sz w:val="24"/>
        </w:rPr>
      </w:pPr>
      <w:r>
        <w:rPr>
          <w:rFonts w:ascii="Times New Roman" w:hAnsi="Times New Roman"/>
          <w:sz w:val="24"/>
        </w:rPr>
        <w:t>Indikativni financijski plan prikazuje financijske pretpostavke potrebne za realizaciju definiranih posebnih ciljeva, odnosno provedbu razvojnih mjera i aktivnosti. Temelji se na procjeni potrebnih troškova za realizaciju svih aktivnosti u razdoblju od 2021. do 2030. godine. Indikativni financijski plan je promjenjiv u okviru ažuriranja akcijskog plana i usklađivanja provedbe ovog</w:t>
      </w:r>
      <w:r w:rsidR="007579DA">
        <w:rPr>
          <w:rFonts w:ascii="Times New Roman" w:hAnsi="Times New Roman"/>
          <w:sz w:val="24"/>
        </w:rPr>
        <w:t>a</w:t>
      </w:r>
      <w:r>
        <w:rPr>
          <w:rFonts w:ascii="Times New Roman" w:hAnsi="Times New Roman"/>
          <w:sz w:val="24"/>
        </w:rPr>
        <w:t xml:space="preserve"> Programa u skladu s rezultatima vrednovanja provedbe.</w:t>
      </w:r>
    </w:p>
    <w:p w14:paraId="45D06003" w14:textId="77777777" w:rsidR="00496804" w:rsidRDefault="00496804">
      <w:pPr>
        <w:spacing w:line="240" w:lineRule="auto"/>
        <w:rPr>
          <w:rFonts w:ascii="Times New Roman" w:hAnsi="Times New Roman"/>
          <w:sz w:val="24"/>
        </w:rPr>
      </w:pPr>
    </w:p>
    <w:p w14:paraId="45D06004" w14:textId="77777777" w:rsidR="00496804" w:rsidRDefault="00496804">
      <w:pPr>
        <w:spacing w:line="240" w:lineRule="auto"/>
        <w:rPr>
          <w:rFonts w:ascii="Times New Roman" w:hAnsi="Times New Roman"/>
          <w:sz w:val="24"/>
        </w:rPr>
      </w:pPr>
    </w:p>
    <w:p w14:paraId="45D06005" w14:textId="77777777" w:rsidR="00496804" w:rsidRDefault="00496804">
      <w:pPr>
        <w:spacing w:line="240" w:lineRule="auto"/>
        <w:rPr>
          <w:rFonts w:ascii="Times New Roman" w:hAnsi="Times New Roman"/>
          <w:sz w:val="24"/>
        </w:rPr>
      </w:pPr>
    </w:p>
    <w:p w14:paraId="45D06006" w14:textId="77777777" w:rsidR="00496804" w:rsidRDefault="0037359D">
      <w:pPr>
        <w:spacing w:line="240" w:lineRule="auto"/>
        <w:rPr>
          <w:rFonts w:ascii="Times New Roman" w:hAnsi="Times New Roman"/>
          <w:sz w:val="24"/>
        </w:rPr>
      </w:pPr>
      <w:r>
        <w:rPr>
          <w:rFonts w:ascii="Times New Roman" w:hAnsi="Times New Roman"/>
          <w:i/>
          <w:iCs/>
          <w:sz w:val="24"/>
        </w:rPr>
        <w:t>Tablica 27. Indikativni financijski plan</w:t>
      </w:r>
    </w:p>
    <w:tbl>
      <w:tblPr>
        <w:tblW w:w="5000" w:type="pct"/>
        <w:jc w:val="center"/>
        <w:tblLook w:val="04A0" w:firstRow="1" w:lastRow="0" w:firstColumn="1" w:lastColumn="0" w:noHBand="0" w:noVBand="1"/>
      </w:tblPr>
      <w:tblGrid>
        <w:gridCol w:w="1260"/>
        <w:gridCol w:w="3980"/>
        <w:gridCol w:w="2268"/>
        <w:gridCol w:w="1843"/>
        <w:gridCol w:w="2410"/>
        <w:gridCol w:w="2830"/>
      </w:tblGrid>
      <w:tr w:rsidR="00496804" w14:paraId="45D0600E" w14:textId="77777777">
        <w:trPr>
          <w:trHeight w:val="625"/>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07"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R. BR.</w:t>
            </w:r>
          </w:p>
        </w:tc>
        <w:tc>
          <w:tcPr>
            <w:tcW w:w="3980" w:type="dxa"/>
            <w:tcBorders>
              <w:top w:val="single" w:sz="4" w:space="0" w:color="auto"/>
              <w:left w:val="nil"/>
              <w:bottom w:val="single" w:sz="4" w:space="0" w:color="auto"/>
              <w:right w:val="single" w:sz="4" w:space="0" w:color="auto"/>
            </w:tcBorders>
            <w:shd w:val="clear" w:color="auto" w:fill="auto"/>
            <w:noWrap/>
            <w:vAlign w:val="center"/>
          </w:tcPr>
          <w:p w14:paraId="45D06008"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Naziv posebnog cilja/mjere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09"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Procijenjena ukupna vrijednost (HRK)</w:t>
            </w:r>
          </w:p>
        </w:tc>
        <w:tc>
          <w:tcPr>
            <w:tcW w:w="1843" w:type="dxa"/>
            <w:tcBorders>
              <w:top w:val="single" w:sz="4" w:space="0" w:color="auto"/>
              <w:left w:val="nil"/>
              <w:bottom w:val="single" w:sz="4" w:space="0" w:color="auto"/>
              <w:right w:val="single" w:sz="4" w:space="0" w:color="auto"/>
            </w:tcBorders>
            <w:vAlign w:val="center"/>
          </w:tcPr>
          <w:p w14:paraId="45D0600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Nositelj provedbe mjere</w:t>
            </w:r>
          </w:p>
        </w:tc>
        <w:tc>
          <w:tcPr>
            <w:tcW w:w="2410" w:type="dxa"/>
            <w:tcBorders>
              <w:top w:val="single" w:sz="4" w:space="0" w:color="auto"/>
              <w:left w:val="nil"/>
              <w:bottom w:val="single" w:sz="4" w:space="0" w:color="auto"/>
              <w:right w:val="single" w:sz="4" w:space="0" w:color="auto"/>
            </w:tcBorders>
            <w:vAlign w:val="center"/>
          </w:tcPr>
          <w:p w14:paraId="45D0600B" w14:textId="72B8CE72"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Izvor financiranja (85%) EU izvor</w:t>
            </w:r>
            <w:r w:rsidR="00644A65">
              <w:rPr>
                <w:rFonts w:ascii="Times New Roman" w:hAnsi="Times New Roman"/>
                <w:sz w:val="24"/>
                <w:lang w:eastAsia="hr-HR"/>
              </w:rPr>
              <w:t>i</w:t>
            </w:r>
            <w:r>
              <w:rPr>
                <w:rFonts w:ascii="Times New Roman" w:hAnsi="Times New Roman"/>
                <w:sz w:val="24"/>
                <w:lang w:eastAsia="hr-HR"/>
              </w:rPr>
              <w:t xml:space="preserve"> </w:t>
            </w:r>
          </w:p>
          <w:p w14:paraId="45D0600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(HRK)</w:t>
            </w:r>
          </w:p>
        </w:tc>
        <w:tc>
          <w:tcPr>
            <w:tcW w:w="2830" w:type="dxa"/>
            <w:tcBorders>
              <w:top w:val="single" w:sz="4" w:space="0" w:color="auto"/>
              <w:left w:val="nil"/>
              <w:bottom w:val="single" w:sz="4" w:space="0" w:color="auto"/>
              <w:right w:val="single" w:sz="4" w:space="0" w:color="auto"/>
            </w:tcBorders>
            <w:vAlign w:val="center"/>
          </w:tcPr>
          <w:p w14:paraId="45D0600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Izvor financiranja (15%) (HRK)</w:t>
            </w:r>
          </w:p>
        </w:tc>
      </w:tr>
      <w:tr w:rsidR="00496804" w14:paraId="45D06016" w14:textId="77777777">
        <w:trPr>
          <w:trHeight w:val="374"/>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CCA6" w:themeFill="accent5" w:themeFillTint="66"/>
            <w:noWrap/>
            <w:vAlign w:val="center"/>
          </w:tcPr>
          <w:p w14:paraId="45D0600F"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w:t>
            </w:r>
          </w:p>
        </w:tc>
        <w:tc>
          <w:tcPr>
            <w:tcW w:w="398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Razvoj sustava kružnog gospodarenja prostorom i zgradama</w:t>
            </w:r>
          </w:p>
        </w:tc>
        <w:tc>
          <w:tcPr>
            <w:tcW w:w="2268" w:type="dxa"/>
            <w:vMerge w:val="restart"/>
            <w:tcBorders>
              <w:top w:val="single" w:sz="4" w:space="0" w:color="auto"/>
              <w:left w:val="nil"/>
              <w:bottom w:val="single" w:sz="4" w:space="0" w:color="auto"/>
              <w:right w:val="single" w:sz="4" w:space="0" w:color="auto"/>
            </w:tcBorders>
            <w:shd w:val="clear" w:color="auto" w:fill="FFCCA6" w:themeFill="accent5" w:themeFillTint="66"/>
            <w:noWrap/>
            <w:vAlign w:val="center"/>
          </w:tcPr>
          <w:p w14:paraId="45D0601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32.455.000,00</w:t>
            </w:r>
          </w:p>
        </w:tc>
        <w:tc>
          <w:tcPr>
            <w:tcW w:w="1843"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27.586.750,00</w:t>
            </w:r>
          </w:p>
        </w:tc>
        <w:tc>
          <w:tcPr>
            <w:tcW w:w="2830" w:type="dxa"/>
            <w:tcBorders>
              <w:top w:val="nil"/>
              <w:left w:val="nil"/>
              <w:bottom w:val="single" w:sz="4" w:space="0" w:color="auto"/>
              <w:right w:val="single" w:sz="4" w:space="0" w:color="auto"/>
            </w:tcBorders>
            <w:shd w:val="clear" w:color="auto" w:fill="FFCCA6" w:themeFill="accent5" w:themeFillTint="66"/>
            <w:vAlign w:val="center"/>
          </w:tcPr>
          <w:p w14:paraId="45D0601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Državni proračun</w:t>
            </w:r>
          </w:p>
          <w:p w14:paraId="45D0601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DP razdjel 12</w:t>
            </w:r>
          </w:p>
        </w:tc>
      </w:tr>
      <w:tr w:rsidR="00496804" w14:paraId="45D0601D" w14:textId="77777777">
        <w:trPr>
          <w:trHeight w:val="373"/>
          <w:jc w:val="center"/>
        </w:trPr>
        <w:tc>
          <w:tcPr>
            <w:tcW w:w="1260" w:type="dxa"/>
            <w:vMerge/>
            <w:tcBorders>
              <w:top w:val="single" w:sz="4" w:space="0" w:color="auto"/>
              <w:left w:val="single" w:sz="4" w:space="0" w:color="auto"/>
              <w:bottom w:val="single" w:sz="4" w:space="0" w:color="auto"/>
              <w:right w:val="single" w:sz="4" w:space="0" w:color="auto"/>
            </w:tcBorders>
            <w:noWrap/>
            <w:vAlign w:val="center"/>
          </w:tcPr>
          <w:p w14:paraId="45D06017" w14:textId="77777777" w:rsidR="00496804" w:rsidRDefault="00496804">
            <w:pPr>
              <w:spacing w:line="240" w:lineRule="auto"/>
              <w:jc w:val="left"/>
              <w:rPr>
                <w:rFonts w:ascii="Times New Roman" w:hAnsi="Times New Roman"/>
                <w:sz w:val="24"/>
                <w:lang w:eastAsia="hr-HR"/>
              </w:rPr>
            </w:pPr>
          </w:p>
        </w:tc>
        <w:tc>
          <w:tcPr>
            <w:tcW w:w="3980" w:type="dxa"/>
            <w:vMerge/>
            <w:tcBorders>
              <w:top w:val="single" w:sz="4" w:space="0" w:color="auto"/>
              <w:left w:val="single" w:sz="4" w:space="0" w:color="auto"/>
              <w:bottom w:val="single" w:sz="4" w:space="0" w:color="auto"/>
              <w:right w:val="single" w:sz="4" w:space="0" w:color="auto"/>
            </w:tcBorders>
            <w:vAlign w:val="center"/>
          </w:tcPr>
          <w:p w14:paraId="45D06018" w14:textId="77777777" w:rsidR="00496804" w:rsidRDefault="00496804">
            <w:pPr>
              <w:spacing w:line="240" w:lineRule="auto"/>
              <w:jc w:val="left"/>
              <w:rPr>
                <w:rFonts w:ascii="Times New Roman" w:hAnsi="Times New Roman"/>
                <w:sz w:val="24"/>
                <w:lang w:eastAsia="hr-HR"/>
              </w:rPr>
            </w:pP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45D06019" w14:textId="77777777" w:rsidR="00496804" w:rsidRDefault="00496804">
            <w:pPr>
              <w:spacing w:line="240" w:lineRule="auto"/>
              <w:jc w:val="center"/>
              <w:rPr>
                <w:rFonts w:ascii="Times New Roman" w:hAnsi="Times New Roman"/>
                <w:sz w:val="24"/>
                <w:lang w:eastAsia="hr-HR"/>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5D0601A" w14:textId="77777777" w:rsidR="00496804" w:rsidRDefault="00496804">
            <w:pPr>
              <w:spacing w:line="240" w:lineRule="auto"/>
              <w:jc w:val="center"/>
              <w:rPr>
                <w:rFonts w:ascii="Times New Roman" w:hAnsi="Times New Roman"/>
                <w:sz w:val="24"/>
                <w:lang w:eastAsia="hr-HR"/>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D0601B" w14:textId="77777777" w:rsidR="00496804" w:rsidRDefault="00496804">
            <w:pPr>
              <w:spacing w:line="240" w:lineRule="auto"/>
              <w:jc w:val="right"/>
              <w:rPr>
                <w:rFonts w:ascii="Times New Roman" w:hAnsi="Times New Roman"/>
                <w:sz w:val="24"/>
                <w:lang w:eastAsia="hr-HR"/>
              </w:rPr>
            </w:pPr>
          </w:p>
        </w:tc>
        <w:tc>
          <w:tcPr>
            <w:tcW w:w="2830" w:type="dxa"/>
            <w:tcBorders>
              <w:top w:val="nil"/>
              <w:left w:val="single" w:sz="4" w:space="0" w:color="auto"/>
              <w:bottom w:val="single" w:sz="4" w:space="0" w:color="auto"/>
              <w:right w:val="single" w:sz="4" w:space="0" w:color="auto"/>
            </w:tcBorders>
            <w:shd w:val="clear" w:color="auto" w:fill="FFCCA6" w:themeFill="accent5" w:themeFillTint="66"/>
            <w:vAlign w:val="center"/>
          </w:tcPr>
          <w:p w14:paraId="45D0601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4.868.250,00</w:t>
            </w:r>
          </w:p>
        </w:tc>
      </w:tr>
      <w:tr w:rsidR="00496804" w14:paraId="45D06024" w14:textId="77777777">
        <w:trPr>
          <w:trHeight w:val="499"/>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1E"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1.1.</w:t>
            </w:r>
          </w:p>
        </w:tc>
        <w:tc>
          <w:tcPr>
            <w:tcW w:w="3980" w:type="dxa"/>
            <w:tcBorders>
              <w:top w:val="single" w:sz="4" w:space="0" w:color="auto"/>
              <w:left w:val="nil"/>
              <w:bottom w:val="single" w:sz="4" w:space="0" w:color="auto"/>
              <w:right w:val="single" w:sz="4" w:space="0" w:color="auto"/>
            </w:tcBorders>
            <w:shd w:val="clear" w:color="auto" w:fill="auto"/>
            <w:vAlign w:val="center"/>
          </w:tcPr>
          <w:p w14:paraId="45D0601F"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Evidentiranje podataka kružnog gospodarenja prostorom i zgradama u RH</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2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5.340.000,00</w:t>
            </w:r>
          </w:p>
        </w:tc>
        <w:tc>
          <w:tcPr>
            <w:tcW w:w="1843" w:type="dxa"/>
            <w:vMerge w:val="restart"/>
            <w:tcBorders>
              <w:top w:val="single" w:sz="4" w:space="0" w:color="auto"/>
              <w:left w:val="nil"/>
              <w:bottom w:val="single" w:sz="4" w:space="0" w:color="auto"/>
              <w:right w:val="single" w:sz="4" w:space="0" w:color="auto"/>
            </w:tcBorders>
            <w:vAlign w:val="center"/>
          </w:tcPr>
          <w:p w14:paraId="45D0602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tcBorders>
              <w:top w:val="single" w:sz="4" w:space="0" w:color="auto"/>
              <w:left w:val="nil"/>
              <w:bottom w:val="single" w:sz="4" w:space="0" w:color="auto"/>
              <w:right w:val="single" w:sz="4" w:space="0" w:color="auto"/>
            </w:tcBorders>
            <w:vAlign w:val="center"/>
          </w:tcPr>
          <w:p w14:paraId="45D0602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4.539.000,00</w:t>
            </w:r>
          </w:p>
        </w:tc>
        <w:tc>
          <w:tcPr>
            <w:tcW w:w="2830" w:type="dxa"/>
            <w:tcBorders>
              <w:top w:val="nil"/>
              <w:left w:val="nil"/>
              <w:bottom w:val="single" w:sz="4" w:space="0" w:color="auto"/>
              <w:right w:val="single" w:sz="4" w:space="0" w:color="auto"/>
            </w:tcBorders>
            <w:vAlign w:val="center"/>
          </w:tcPr>
          <w:p w14:paraId="45D0602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801.000,00</w:t>
            </w:r>
          </w:p>
        </w:tc>
      </w:tr>
      <w:tr w:rsidR="00496804" w14:paraId="45D0602B"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2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1.2.</w:t>
            </w:r>
          </w:p>
        </w:tc>
        <w:tc>
          <w:tcPr>
            <w:tcW w:w="3980" w:type="dxa"/>
            <w:tcBorders>
              <w:top w:val="nil"/>
              <w:left w:val="nil"/>
              <w:bottom w:val="single" w:sz="4" w:space="0" w:color="auto"/>
              <w:right w:val="single" w:sz="4" w:space="0" w:color="auto"/>
            </w:tcBorders>
            <w:shd w:val="clear" w:color="auto" w:fill="auto"/>
            <w:vAlign w:val="center"/>
          </w:tcPr>
          <w:p w14:paraId="45D0602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Osiguravanje preduvjeta za razvoj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2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3.250.000,00</w:t>
            </w:r>
          </w:p>
        </w:tc>
        <w:tc>
          <w:tcPr>
            <w:tcW w:w="1843" w:type="dxa"/>
            <w:vMerge/>
            <w:tcBorders>
              <w:bottom w:val="single" w:sz="4" w:space="0" w:color="auto"/>
              <w:right w:val="single" w:sz="4" w:space="0" w:color="auto"/>
            </w:tcBorders>
          </w:tcPr>
          <w:p w14:paraId="45D06028"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2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2.762.500,00</w:t>
            </w:r>
          </w:p>
        </w:tc>
        <w:tc>
          <w:tcPr>
            <w:tcW w:w="2830" w:type="dxa"/>
            <w:tcBorders>
              <w:top w:val="nil"/>
              <w:left w:val="nil"/>
              <w:bottom w:val="single" w:sz="4" w:space="0" w:color="auto"/>
              <w:right w:val="single" w:sz="4" w:space="0" w:color="auto"/>
            </w:tcBorders>
            <w:vAlign w:val="center"/>
          </w:tcPr>
          <w:p w14:paraId="45D0602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487.500,00</w:t>
            </w:r>
          </w:p>
        </w:tc>
      </w:tr>
      <w:tr w:rsidR="00496804" w14:paraId="45D06032"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2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1.3.</w:t>
            </w:r>
          </w:p>
        </w:tc>
        <w:tc>
          <w:tcPr>
            <w:tcW w:w="3980" w:type="dxa"/>
            <w:tcBorders>
              <w:top w:val="nil"/>
              <w:left w:val="nil"/>
              <w:bottom w:val="single" w:sz="4" w:space="0" w:color="auto"/>
              <w:right w:val="single" w:sz="4" w:space="0" w:color="auto"/>
            </w:tcBorders>
            <w:shd w:val="clear" w:color="auto" w:fill="auto"/>
            <w:vAlign w:val="center"/>
          </w:tcPr>
          <w:p w14:paraId="45D0602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Izrada strateških dokumenata razvoja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2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17.400.000,00</w:t>
            </w:r>
          </w:p>
        </w:tc>
        <w:tc>
          <w:tcPr>
            <w:tcW w:w="1843" w:type="dxa"/>
            <w:vMerge/>
            <w:tcBorders>
              <w:bottom w:val="single" w:sz="4" w:space="0" w:color="auto"/>
              <w:right w:val="single" w:sz="4" w:space="0" w:color="auto"/>
            </w:tcBorders>
          </w:tcPr>
          <w:p w14:paraId="45D0602F"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14.790.000,00</w:t>
            </w:r>
          </w:p>
        </w:tc>
        <w:tc>
          <w:tcPr>
            <w:tcW w:w="2830" w:type="dxa"/>
            <w:tcBorders>
              <w:top w:val="nil"/>
              <w:left w:val="nil"/>
              <w:bottom w:val="single" w:sz="4" w:space="0" w:color="auto"/>
              <w:right w:val="single" w:sz="4" w:space="0" w:color="auto"/>
            </w:tcBorders>
            <w:vAlign w:val="center"/>
          </w:tcPr>
          <w:p w14:paraId="45D0603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2.610.000,00</w:t>
            </w:r>
          </w:p>
        </w:tc>
      </w:tr>
      <w:tr w:rsidR="00496804" w14:paraId="45D06039"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33"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1.4.</w:t>
            </w:r>
          </w:p>
        </w:tc>
        <w:tc>
          <w:tcPr>
            <w:tcW w:w="3980" w:type="dxa"/>
            <w:tcBorders>
              <w:top w:val="nil"/>
              <w:left w:val="nil"/>
              <w:bottom w:val="single" w:sz="4" w:space="0" w:color="auto"/>
              <w:right w:val="single" w:sz="4" w:space="0" w:color="auto"/>
            </w:tcBorders>
            <w:shd w:val="clear" w:color="auto" w:fill="auto"/>
            <w:vAlign w:val="center"/>
          </w:tcPr>
          <w:p w14:paraId="45D06034"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Razvoj i izrada digitalne baze projekata</w:t>
            </w:r>
          </w:p>
        </w:tc>
        <w:tc>
          <w:tcPr>
            <w:tcW w:w="2268" w:type="dxa"/>
            <w:tcBorders>
              <w:top w:val="nil"/>
              <w:left w:val="nil"/>
              <w:bottom w:val="single" w:sz="4" w:space="0" w:color="auto"/>
              <w:right w:val="single" w:sz="4" w:space="0" w:color="auto"/>
            </w:tcBorders>
            <w:shd w:val="clear" w:color="auto" w:fill="auto"/>
            <w:noWrap/>
            <w:vAlign w:val="center"/>
          </w:tcPr>
          <w:p w14:paraId="45D0603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2.265.000,00</w:t>
            </w:r>
          </w:p>
        </w:tc>
        <w:tc>
          <w:tcPr>
            <w:tcW w:w="1843" w:type="dxa"/>
            <w:vMerge/>
            <w:tcBorders>
              <w:bottom w:val="single" w:sz="4" w:space="0" w:color="auto"/>
              <w:right w:val="single" w:sz="4" w:space="0" w:color="auto"/>
            </w:tcBorders>
          </w:tcPr>
          <w:p w14:paraId="45D06036"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1.925.250,00</w:t>
            </w:r>
          </w:p>
        </w:tc>
        <w:tc>
          <w:tcPr>
            <w:tcW w:w="2830" w:type="dxa"/>
            <w:tcBorders>
              <w:top w:val="nil"/>
              <w:left w:val="nil"/>
              <w:bottom w:val="single" w:sz="4" w:space="0" w:color="auto"/>
              <w:right w:val="single" w:sz="4" w:space="0" w:color="auto"/>
            </w:tcBorders>
            <w:vAlign w:val="center"/>
          </w:tcPr>
          <w:p w14:paraId="45D0603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339.750,00</w:t>
            </w:r>
          </w:p>
        </w:tc>
      </w:tr>
      <w:tr w:rsidR="00496804" w14:paraId="45D06040"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3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1.5.</w:t>
            </w:r>
          </w:p>
        </w:tc>
        <w:tc>
          <w:tcPr>
            <w:tcW w:w="3980" w:type="dxa"/>
            <w:tcBorders>
              <w:top w:val="nil"/>
              <w:left w:val="nil"/>
              <w:bottom w:val="single" w:sz="4" w:space="0" w:color="auto"/>
              <w:right w:val="single" w:sz="4" w:space="0" w:color="auto"/>
            </w:tcBorders>
            <w:shd w:val="clear" w:color="auto" w:fill="auto"/>
            <w:vAlign w:val="center"/>
          </w:tcPr>
          <w:p w14:paraId="45D0603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Unaprjeđenje međusektorske i međunarodne suradnje</w:t>
            </w:r>
          </w:p>
        </w:tc>
        <w:tc>
          <w:tcPr>
            <w:tcW w:w="2268" w:type="dxa"/>
            <w:tcBorders>
              <w:top w:val="nil"/>
              <w:left w:val="nil"/>
              <w:bottom w:val="single" w:sz="4" w:space="0" w:color="auto"/>
              <w:right w:val="single" w:sz="4" w:space="0" w:color="auto"/>
            </w:tcBorders>
            <w:shd w:val="clear" w:color="auto" w:fill="auto"/>
            <w:noWrap/>
            <w:vAlign w:val="center"/>
          </w:tcPr>
          <w:p w14:paraId="45D0603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4.200.000,00</w:t>
            </w:r>
          </w:p>
        </w:tc>
        <w:tc>
          <w:tcPr>
            <w:tcW w:w="1843" w:type="dxa"/>
            <w:vMerge/>
            <w:tcBorders>
              <w:bottom w:val="single" w:sz="4" w:space="0" w:color="auto"/>
              <w:right w:val="single" w:sz="4" w:space="0" w:color="auto"/>
            </w:tcBorders>
          </w:tcPr>
          <w:p w14:paraId="45D0603D"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3.570.000,00</w:t>
            </w:r>
          </w:p>
        </w:tc>
        <w:tc>
          <w:tcPr>
            <w:tcW w:w="2830" w:type="dxa"/>
            <w:tcBorders>
              <w:top w:val="nil"/>
              <w:left w:val="nil"/>
              <w:bottom w:val="single" w:sz="4" w:space="0" w:color="auto"/>
              <w:right w:val="single" w:sz="4" w:space="0" w:color="auto"/>
            </w:tcBorders>
            <w:vAlign w:val="center"/>
          </w:tcPr>
          <w:p w14:paraId="45D0603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630.000,00</w:t>
            </w:r>
          </w:p>
        </w:tc>
      </w:tr>
    </w:tbl>
    <w:p w14:paraId="45D06041" w14:textId="77777777" w:rsidR="00496804" w:rsidRDefault="00496804">
      <w:pPr>
        <w:spacing w:line="240" w:lineRule="auto"/>
        <w:rPr>
          <w:rFonts w:ascii="Times New Roman" w:hAnsi="Times New Roman"/>
          <w:sz w:val="24"/>
        </w:rPr>
      </w:pPr>
    </w:p>
    <w:p w14:paraId="45D06042" w14:textId="77777777" w:rsidR="00496804" w:rsidRDefault="00496804">
      <w:pPr>
        <w:spacing w:line="240" w:lineRule="auto"/>
        <w:rPr>
          <w:rFonts w:ascii="Times New Roman" w:hAnsi="Times New Roman"/>
          <w:sz w:val="24"/>
        </w:rPr>
      </w:pPr>
    </w:p>
    <w:p w14:paraId="45D06043" w14:textId="77777777" w:rsidR="00496804" w:rsidRDefault="00496804">
      <w:pPr>
        <w:spacing w:line="240" w:lineRule="auto"/>
        <w:rPr>
          <w:rFonts w:ascii="Times New Roman" w:hAnsi="Times New Roman"/>
          <w:sz w:val="24"/>
        </w:rPr>
      </w:pPr>
    </w:p>
    <w:p w14:paraId="45D06044" w14:textId="77777777" w:rsidR="00496804" w:rsidRDefault="00496804">
      <w:pPr>
        <w:spacing w:line="240" w:lineRule="auto"/>
        <w:rPr>
          <w:rFonts w:ascii="Times New Roman" w:hAnsi="Times New Roman"/>
          <w:sz w:val="24"/>
        </w:rPr>
      </w:pPr>
    </w:p>
    <w:p w14:paraId="45D06045" w14:textId="77777777" w:rsidR="00496804" w:rsidRDefault="00496804">
      <w:pPr>
        <w:spacing w:line="240" w:lineRule="auto"/>
        <w:rPr>
          <w:rFonts w:ascii="Times New Roman" w:hAnsi="Times New Roman"/>
          <w:sz w:val="24"/>
        </w:rPr>
      </w:pPr>
    </w:p>
    <w:p w14:paraId="45D06046" w14:textId="77777777" w:rsidR="00496804" w:rsidRDefault="00496804">
      <w:pPr>
        <w:spacing w:line="240" w:lineRule="auto"/>
        <w:rPr>
          <w:rFonts w:ascii="Times New Roman" w:hAnsi="Times New Roman"/>
          <w:sz w:val="24"/>
        </w:rPr>
      </w:pPr>
    </w:p>
    <w:tbl>
      <w:tblPr>
        <w:tblW w:w="5000" w:type="pct"/>
        <w:jc w:val="center"/>
        <w:tblLook w:val="04A0" w:firstRow="1" w:lastRow="0" w:firstColumn="1" w:lastColumn="0" w:noHBand="0" w:noVBand="1"/>
      </w:tblPr>
      <w:tblGrid>
        <w:gridCol w:w="1260"/>
        <w:gridCol w:w="3980"/>
        <w:gridCol w:w="2268"/>
        <w:gridCol w:w="1843"/>
        <w:gridCol w:w="2410"/>
        <w:gridCol w:w="2830"/>
      </w:tblGrid>
      <w:tr w:rsidR="00496804" w14:paraId="45D0604D" w14:textId="77777777">
        <w:trPr>
          <w:trHeight w:val="620"/>
          <w:jc w:val="center"/>
        </w:trPr>
        <w:tc>
          <w:tcPr>
            <w:tcW w:w="1260" w:type="dxa"/>
            <w:vMerge w:val="restart"/>
            <w:tcBorders>
              <w:top w:val="single" w:sz="4" w:space="0" w:color="auto"/>
              <w:left w:val="single" w:sz="4" w:space="0" w:color="auto"/>
              <w:right w:val="single" w:sz="4" w:space="0" w:color="auto"/>
            </w:tcBorders>
            <w:shd w:val="clear" w:color="auto" w:fill="FFCCA6" w:themeFill="accent5" w:themeFillTint="66"/>
            <w:noWrap/>
            <w:vAlign w:val="center"/>
          </w:tcPr>
          <w:p w14:paraId="45D06047"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w:t>
            </w:r>
          </w:p>
        </w:tc>
        <w:tc>
          <w:tcPr>
            <w:tcW w:w="3980" w:type="dxa"/>
            <w:vMerge w:val="restart"/>
            <w:tcBorders>
              <w:top w:val="single" w:sz="4" w:space="0" w:color="auto"/>
              <w:left w:val="nil"/>
              <w:right w:val="single" w:sz="4" w:space="0" w:color="auto"/>
            </w:tcBorders>
            <w:shd w:val="clear" w:color="auto" w:fill="FFCCA6" w:themeFill="accent5" w:themeFillTint="66"/>
            <w:vAlign w:val="center"/>
          </w:tcPr>
          <w:p w14:paraId="45D06048"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Kružna obnova nekorištenih prostora i zgrada</w:t>
            </w:r>
          </w:p>
        </w:tc>
        <w:tc>
          <w:tcPr>
            <w:tcW w:w="2268" w:type="dxa"/>
            <w:vMerge w:val="restart"/>
            <w:tcBorders>
              <w:top w:val="single" w:sz="4" w:space="0" w:color="auto"/>
              <w:left w:val="nil"/>
              <w:right w:val="single" w:sz="4" w:space="0" w:color="auto"/>
            </w:tcBorders>
            <w:shd w:val="clear" w:color="auto" w:fill="FFCCA6" w:themeFill="accent5" w:themeFillTint="66"/>
            <w:noWrap/>
            <w:vAlign w:val="center"/>
          </w:tcPr>
          <w:p w14:paraId="45D0604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4.723.600.000,00</w:t>
            </w:r>
          </w:p>
        </w:tc>
        <w:tc>
          <w:tcPr>
            <w:tcW w:w="1843" w:type="dxa"/>
            <w:vMerge w:val="restart"/>
            <w:tcBorders>
              <w:top w:val="single" w:sz="4" w:space="0" w:color="auto"/>
              <w:left w:val="nil"/>
              <w:right w:val="single" w:sz="4" w:space="0" w:color="auto"/>
            </w:tcBorders>
            <w:shd w:val="clear" w:color="auto" w:fill="FFCCA6" w:themeFill="accent5" w:themeFillTint="66"/>
            <w:vAlign w:val="center"/>
          </w:tcPr>
          <w:p w14:paraId="45D0604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JLP(R)S; MPGI raspisuje javni poziv za dodjelu sredstava</w:t>
            </w:r>
          </w:p>
        </w:tc>
        <w:tc>
          <w:tcPr>
            <w:tcW w:w="2410" w:type="dxa"/>
            <w:vMerge w:val="restart"/>
            <w:tcBorders>
              <w:top w:val="single" w:sz="4" w:space="0" w:color="auto"/>
              <w:left w:val="nil"/>
              <w:right w:val="single" w:sz="4" w:space="0" w:color="auto"/>
            </w:tcBorders>
            <w:shd w:val="clear" w:color="auto" w:fill="FFCCA6" w:themeFill="accent5" w:themeFillTint="66"/>
            <w:vAlign w:val="center"/>
          </w:tcPr>
          <w:p w14:paraId="45D0604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4.015.060.000,00</w:t>
            </w: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4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Vlastita sredstva JLP(R)S</w:t>
            </w:r>
          </w:p>
        </w:tc>
      </w:tr>
      <w:tr w:rsidR="00496804" w14:paraId="45D06054" w14:textId="77777777">
        <w:trPr>
          <w:trHeight w:val="619"/>
          <w:jc w:val="center"/>
        </w:trPr>
        <w:tc>
          <w:tcPr>
            <w:tcW w:w="1260" w:type="dxa"/>
            <w:vMerge/>
            <w:tcBorders>
              <w:left w:val="single" w:sz="4" w:space="0" w:color="auto"/>
              <w:bottom w:val="single" w:sz="4" w:space="0" w:color="auto"/>
              <w:right w:val="single" w:sz="4" w:space="0" w:color="auto"/>
            </w:tcBorders>
            <w:shd w:val="clear" w:color="auto" w:fill="FFCCA6" w:themeFill="accent5" w:themeFillTint="66"/>
            <w:noWrap/>
            <w:vAlign w:val="center"/>
          </w:tcPr>
          <w:p w14:paraId="45D0604E" w14:textId="77777777" w:rsidR="00496804" w:rsidRDefault="00496804">
            <w:pPr>
              <w:spacing w:line="240" w:lineRule="auto"/>
              <w:jc w:val="left"/>
              <w:rPr>
                <w:rFonts w:ascii="Times New Roman" w:hAnsi="Times New Roman"/>
                <w:sz w:val="24"/>
                <w:lang w:eastAsia="hr-HR"/>
              </w:rPr>
            </w:pPr>
          </w:p>
        </w:tc>
        <w:tc>
          <w:tcPr>
            <w:tcW w:w="3980" w:type="dxa"/>
            <w:vMerge/>
            <w:tcBorders>
              <w:left w:val="nil"/>
              <w:bottom w:val="single" w:sz="4" w:space="0" w:color="auto"/>
              <w:right w:val="single" w:sz="4" w:space="0" w:color="auto"/>
            </w:tcBorders>
            <w:shd w:val="clear" w:color="auto" w:fill="FFCCA6" w:themeFill="accent5" w:themeFillTint="66"/>
            <w:vAlign w:val="center"/>
          </w:tcPr>
          <w:p w14:paraId="45D0604F" w14:textId="77777777" w:rsidR="00496804" w:rsidRDefault="00496804">
            <w:pPr>
              <w:spacing w:line="240" w:lineRule="auto"/>
              <w:jc w:val="left"/>
              <w:rPr>
                <w:rFonts w:ascii="Times New Roman" w:hAnsi="Times New Roman"/>
                <w:sz w:val="24"/>
                <w:lang w:eastAsia="hr-HR"/>
              </w:rPr>
            </w:pPr>
          </w:p>
        </w:tc>
        <w:tc>
          <w:tcPr>
            <w:tcW w:w="2268" w:type="dxa"/>
            <w:vMerge/>
            <w:tcBorders>
              <w:left w:val="nil"/>
              <w:bottom w:val="single" w:sz="4" w:space="0" w:color="auto"/>
              <w:right w:val="single" w:sz="4" w:space="0" w:color="auto"/>
            </w:tcBorders>
            <w:shd w:val="clear" w:color="auto" w:fill="FFCCA6" w:themeFill="accent5" w:themeFillTint="66"/>
            <w:noWrap/>
            <w:vAlign w:val="center"/>
          </w:tcPr>
          <w:p w14:paraId="45D06050" w14:textId="77777777" w:rsidR="00496804" w:rsidRDefault="00496804">
            <w:pPr>
              <w:spacing w:line="240" w:lineRule="auto"/>
              <w:jc w:val="center"/>
              <w:rPr>
                <w:rFonts w:ascii="Times New Roman" w:hAnsi="Times New Roman"/>
                <w:sz w:val="24"/>
                <w:lang w:eastAsia="hr-HR"/>
              </w:rPr>
            </w:pPr>
          </w:p>
        </w:tc>
        <w:tc>
          <w:tcPr>
            <w:tcW w:w="1843" w:type="dxa"/>
            <w:vMerge/>
            <w:tcBorders>
              <w:left w:val="nil"/>
              <w:bottom w:val="single" w:sz="4" w:space="0" w:color="auto"/>
              <w:right w:val="single" w:sz="4" w:space="0" w:color="auto"/>
            </w:tcBorders>
            <w:shd w:val="clear" w:color="auto" w:fill="FFCCA6" w:themeFill="accent5" w:themeFillTint="66"/>
            <w:vAlign w:val="center"/>
          </w:tcPr>
          <w:p w14:paraId="45D06051" w14:textId="77777777" w:rsidR="00496804" w:rsidRDefault="00496804">
            <w:pPr>
              <w:spacing w:line="240" w:lineRule="auto"/>
              <w:jc w:val="center"/>
              <w:rPr>
                <w:rFonts w:ascii="Times New Roman" w:hAnsi="Times New Roman"/>
                <w:sz w:val="24"/>
                <w:lang w:eastAsia="hr-HR"/>
              </w:rPr>
            </w:pPr>
          </w:p>
        </w:tc>
        <w:tc>
          <w:tcPr>
            <w:tcW w:w="2410" w:type="dxa"/>
            <w:vMerge/>
            <w:tcBorders>
              <w:left w:val="nil"/>
              <w:bottom w:val="single" w:sz="4" w:space="0" w:color="auto"/>
              <w:right w:val="single" w:sz="4" w:space="0" w:color="auto"/>
            </w:tcBorders>
            <w:shd w:val="clear" w:color="auto" w:fill="FFCCA6" w:themeFill="accent5" w:themeFillTint="66"/>
            <w:vAlign w:val="center"/>
          </w:tcPr>
          <w:p w14:paraId="45D06052" w14:textId="77777777" w:rsidR="00496804" w:rsidRDefault="00496804">
            <w:pPr>
              <w:spacing w:line="240" w:lineRule="auto"/>
              <w:jc w:val="center"/>
              <w:rPr>
                <w:rFonts w:ascii="Times New Roman" w:hAnsi="Times New Roman"/>
                <w:sz w:val="24"/>
                <w:lang w:eastAsia="hr-HR"/>
              </w:rPr>
            </w:pP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5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708.540.000,00</w:t>
            </w:r>
          </w:p>
        </w:tc>
      </w:tr>
      <w:tr w:rsidR="00496804" w14:paraId="45D0605B"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5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2.1.</w:t>
            </w:r>
          </w:p>
        </w:tc>
        <w:tc>
          <w:tcPr>
            <w:tcW w:w="3980" w:type="dxa"/>
            <w:tcBorders>
              <w:top w:val="nil"/>
              <w:left w:val="nil"/>
              <w:bottom w:val="single" w:sz="4" w:space="0" w:color="auto"/>
              <w:right w:val="single" w:sz="4" w:space="0" w:color="auto"/>
            </w:tcBorders>
            <w:shd w:val="clear" w:color="auto" w:fill="auto"/>
            <w:vAlign w:val="center"/>
          </w:tcPr>
          <w:p w14:paraId="45D0605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Provedba pilot projekata</w:t>
            </w:r>
          </w:p>
        </w:tc>
        <w:tc>
          <w:tcPr>
            <w:tcW w:w="2268" w:type="dxa"/>
            <w:tcBorders>
              <w:top w:val="nil"/>
              <w:left w:val="nil"/>
              <w:bottom w:val="single" w:sz="4" w:space="0" w:color="auto"/>
              <w:right w:val="single" w:sz="4" w:space="0" w:color="auto"/>
            </w:tcBorders>
            <w:shd w:val="clear" w:color="auto" w:fill="auto"/>
            <w:noWrap/>
            <w:vAlign w:val="center"/>
          </w:tcPr>
          <w:p w14:paraId="45D0605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153.000.000,00</w:t>
            </w:r>
          </w:p>
        </w:tc>
        <w:tc>
          <w:tcPr>
            <w:tcW w:w="1843" w:type="dxa"/>
            <w:vMerge w:val="restart"/>
            <w:tcBorders>
              <w:top w:val="single" w:sz="4" w:space="0" w:color="auto"/>
              <w:left w:val="nil"/>
              <w:bottom w:val="single" w:sz="4" w:space="0" w:color="auto"/>
              <w:right w:val="single" w:sz="4" w:space="0" w:color="auto"/>
            </w:tcBorders>
            <w:vAlign w:val="center"/>
          </w:tcPr>
          <w:p w14:paraId="45D0605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JLP(R)S; MPGI raspisuje javni poziv za dodjelu sredstava</w:t>
            </w:r>
          </w:p>
        </w:tc>
        <w:tc>
          <w:tcPr>
            <w:tcW w:w="2410" w:type="dxa"/>
            <w:tcBorders>
              <w:top w:val="single" w:sz="4" w:space="0" w:color="auto"/>
              <w:left w:val="nil"/>
              <w:bottom w:val="single" w:sz="4" w:space="0" w:color="auto"/>
              <w:right w:val="single" w:sz="4" w:space="0" w:color="auto"/>
            </w:tcBorders>
            <w:vAlign w:val="center"/>
          </w:tcPr>
          <w:p w14:paraId="45D0605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130.050.000,00</w:t>
            </w:r>
          </w:p>
        </w:tc>
        <w:tc>
          <w:tcPr>
            <w:tcW w:w="2830" w:type="dxa"/>
            <w:tcBorders>
              <w:top w:val="single" w:sz="4" w:space="0" w:color="auto"/>
              <w:left w:val="nil"/>
              <w:bottom w:val="single" w:sz="4" w:space="0" w:color="auto"/>
              <w:right w:val="single" w:sz="4" w:space="0" w:color="auto"/>
            </w:tcBorders>
            <w:vAlign w:val="center"/>
          </w:tcPr>
          <w:p w14:paraId="45D0605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22.950.000,00</w:t>
            </w:r>
          </w:p>
        </w:tc>
      </w:tr>
      <w:tr w:rsidR="00496804" w14:paraId="45D06062"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5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2.2.</w:t>
            </w:r>
          </w:p>
        </w:tc>
        <w:tc>
          <w:tcPr>
            <w:tcW w:w="3980" w:type="dxa"/>
            <w:tcBorders>
              <w:top w:val="nil"/>
              <w:left w:val="nil"/>
              <w:bottom w:val="single" w:sz="4" w:space="0" w:color="auto"/>
              <w:right w:val="single" w:sz="4" w:space="0" w:color="auto"/>
            </w:tcBorders>
            <w:shd w:val="clear" w:color="auto" w:fill="auto"/>
            <w:vAlign w:val="center"/>
          </w:tcPr>
          <w:p w14:paraId="45D0605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Poticanje kružne obnove prostora i zgrada</w:t>
            </w:r>
          </w:p>
        </w:tc>
        <w:tc>
          <w:tcPr>
            <w:tcW w:w="2268" w:type="dxa"/>
            <w:tcBorders>
              <w:top w:val="nil"/>
              <w:left w:val="nil"/>
              <w:bottom w:val="single" w:sz="4" w:space="0" w:color="auto"/>
              <w:right w:val="single" w:sz="4" w:space="0" w:color="auto"/>
            </w:tcBorders>
            <w:shd w:val="clear" w:color="auto" w:fill="auto"/>
            <w:noWrap/>
            <w:vAlign w:val="center"/>
          </w:tcPr>
          <w:p w14:paraId="45D0605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4.560.500.000,00</w:t>
            </w:r>
          </w:p>
        </w:tc>
        <w:tc>
          <w:tcPr>
            <w:tcW w:w="1843" w:type="dxa"/>
            <w:vMerge/>
            <w:tcBorders>
              <w:top w:val="single" w:sz="4" w:space="0" w:color="auto"/>
              <w:bottom w:val="single" w:sz="4" w:space="0" w:color="auto"/>
              <w:right w:val="single" w:sz="4" w:space="0" w:color="auto"/>
            </w:tcBorders>
            <w:vAlign w:val="center"/>
          </w:tcPr>
          <w:p w14:paraId="45D0605F"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6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3.876.425.000,00</w:t>
            </w:r>
          </w:p>
        </w:tc>
        <w:tc>
          <w:tcPr>
            <w:tcW w:w="2830" w:type="dxa"/>
            <w:tcBorders>
              <w:top w:val="single" w:sz="4" w:space="0" w:color="auto"/>
              <w:left w:val="single" w:sz="4" w:space="0" w:color="auto"/>
              <w:bottom w:val="single" w:sz="4" w:space="0" w:color="auto"/>
              <w:right w:val="single" w:sz="4" w:space="0" w:color="auto"/>
            </w:tcBorders>
            <w:vAlign w:val="center"/>
          </w:tcPr>
          <w:p w14:paraId="45D0606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684.075.000,00</w:t>
            </w:r>
          </w:p>
        </w:tc>
      </w:tr>
      <w:tr w:rsidR="00496804" w14:paraId="45D06069" w14:textId="77777777">
        <w:trPr>
          <w:trHeight w:val="6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63"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2.3.</w:t>
            </w:r>
          </w:p>
        </w:tc>
        <w:tc>
          <w:tcPr>
            <w:tcW w:w="3980" w:type="dxa"/>
            <w:tcBorders>
              <w:top w:val="nil"/>
              <w:left w:val="nil"/>
              <w:bottom w:val="single" w:sz="4" w:space="0" w:color="auto"/>
              <w:right w:val="single" w:sz="4" w:space="0" w:color="auto"/>
            </w:tcBorders>
            <w:shd w:val="clear" w:color="auto" w:fill="auto"/>
            <w:vAlign w:val="center"/>
          </w:tcPr>
          <w:p w14:paraId="45D06064"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Poticanje inovacija i razvoja u primjeni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65"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10.100.000,00</w:t>
            </w:r>
          </w:p>
        </w:tc>
        <w:tc>
          <w:tcPr>
            <w:tcW w:w="1843" w:type="dxa"/>
            <w:vMerge/>
            <w:tcBorders>
              <w:top w:val="single" w:sz="4" w:space="0" w:color="auto"/>
              <w:bottom w:val="single" w:sz="4" w:space="0" w:color="auto"/>
              <w:right w:val="single" w:sz="4" w:space="0" w:color="auto"/>
            </w:tcBorders>
            <w:vAlign w:val="center"/>
          </w:tcPr>
          <w:p w14:paraId="45D06066"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6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8.585.000,00</w:t>
            </w:r>
          </w:p>
        </w:tc>
        <w:tc>
          <w:tcPr>
            <w:tcW w:w="2830" w:type="dxa"/>
            <w:tcBorders>
              <w:top w:val="single" w:sz="4" w:space="0" w:color="auto"/>
              <w:left w:val="single" w:sz="4" w:space="0" w:color="auto"/>
              <w:bottom w:val="single" w:sz="4" w:space="0" w:color="auto"/>
              <w:right w:val="single" w:sz="4" w:space="0" w:color="auto"/>
            </w:tcBorders>
            <w:vAlign w:val="center"/>
          </w:tcPr>
          <w:p w14:paraId="45D0606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1.515.000,00</w:t>
            </w:r>
          </w:p>
        </w:tc>
      </w:tr>
      <w:tr w:rsidR="00496804" w14:paraId="45D06071" w14:textId="77777777">
        <w:trPr>
          <w:trHeight w:val="461"/>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CCA6" w:themeFill="accent5" w:themeFillTint="66"/>
            <w:noWrap/>
            <w:vAlign w:val="center"/>
          </w:tcPr>
          <w:p w14:paraId="45D0606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w:t>
            </w:r>
          </w:p>
        </w:tc>
        <w:tc>
          <w:tcPr>
            <w:tcW w:w="398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Visoka razina znanja i društvene svijesti o kružnom gospodarenju prostorom i zgradama</w:t>
            </w:r>
          </w:p>
        </w:tc>
        <w:tc>
          <w:tcPr>
            <w:tcW w:w="2268" w:type="dxa"/>
            <w:vMerge w:val="restart"/>
            <w:tcBorders>
              <w:top w:val="single" w:sz="4" w:space="0" w:color="auto"/>
              <w:left w:val="nil"/>
              <w:bottom w:val="single" w:sz="4" w:space="0" w:color="auto"/>
              <w:right w:val="single" w:sz="4" w:space="0" w:color="auto"/>
            </w:tcBorders>
            <w:shd w:val="clear" w:color="auto" w:fill="FFCCA6" w:themeFill="accent5" w:themeFillTint="66"/>
            <w:noWrap/>
            <w:vAlign w:val="center"/>
          </w:tcPr>
          <w:p w14:paraId="45D0606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6.750.000,00</w:t>
            </w:r>
          </w:p>
        </w:tc>
        <w:tc>
          <w:tcPr>
            <w:tcW w:w="1843"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5.737.500,00</w:t>
            </w: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6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Državni proračun</w:t>
            </w:r>
          </w:p>
          <w:p w14:paraId="45D0607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DP razdjel 12</w:t>
            </w:r>
          </w:p>
        </w:tc>
      </w:tr>
      <w:tr w:rsidR="00496804" w14:paraId="45D06078" w14:textId="77777777">
        <w:trPr>
          <w:trHeight w:val="460"/>
          <w:jc w:val="center"/>
        </w:trPr>
        <w:tc>
          <w:tcPr>
            <w:tcW w:w="1260" w:type="dxa"/>
            <w:vMerge/>
            <w:tcBorders>
              <w:top w:val="single" w:sz="4" w:space="0" w:color="auto"/>
              <w:left w:val="single" w:sz="4" w:space="0" w:color="auto"/>
              <w:bottom w:val="single" w:sz="4" w:space="0" w:color="auto"/>
              <w:right w:val="single" w:sz="4" w:space="0" w:color="auto"/>
            </w:tcBorders>
            <w:noWrap/>
            <w:vAlign w:val="center"/>
          </w:tcPr>
          <w:p w14:paraId="45D06072" w14:textId="77777777" w:rsidR="00496804" w:rsidRDefault="00496804">
            <w:pPr>
              <w:spacing w:line="240" w:lineRule="auto"/>
              <w:jc w:val="left"/>
              <w:rPr>
                <w:rFonts w:ascii="Times New Roman" w:hAnsi="Times New Roman"/>
                <w:sz w:val="24"/>
                <w:lang w:eastAsia="hr-HR"/>
              </w:rPr>
            </w:pPr>
          </w:p>
        </w:tc>
        <w:tc>
          <w:tcPr>
            <w:tcW w:w="3980" w:type="dxa"/>
            <w:vMerge/>
            <w:tcBorders>
              <w:top w:val="single" w:sz="4" w:space="0" w:color="auto"/>
              <w:left w:val="single" w:sz="4" w:space="0" w:color="auto"/>
              <w:bottom w:val="single" w:sz="4" w:space="0" w:color="auto"/>
              <w:right w:val="single" w:sz="4" w:space="0" w:color="auto"/>
            </w:tcBorders>
            <w:vAlign w:val="center"/>
          </w:tcPr>
          <w:p w14:paraId="45D06073" w14:textId="77777777" w:rsidR="00496804" w:rsidRDefault="00496804">
            <w:pPr>
              <w:spacing w:line="240" w:lineRule="auto"/>
              <w:jc w:val="left"/>
              <w:rPr>
                <w:rFonts w:ascii="Times New Roman" w:hAnsi="Times New Roman"/>
                <w:sz w:val="24"/>
                <w:lang w:eastAsia="hr-HR"/>
              </w:rPr>
            </w:pP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45D06074" w14:textId="77777777" w:rsidR="00496804" w:rsidRDefault="00496804">
            <w:pPr>
              <w:spacing w:line="240" w:lineRule="auto"/>
              <w:jc w:val="center"/>
              <w:rPr>
                <w:rFonts w:ascii="Times New Roman" w:hAnsi="Times New Roman"/>
                <w:sz w:val="24"/>
                <w:lang w:eastAsia="hr-HR"/>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5D06075" w14:textId="77777777" w:rsidR="00496804" w:rsidRDefault="00496804">
            <w:pPr>
              <w:spacing w:line="240" w:lineRule="auto"/>
              <w:jc w:val="center"/>
              <w:rPr>
                <w:rFonts w:ascii="Times New Roman" w:hAnsi="Times New Roman"/>
                <w:sz w:val="24"/>
                <w:lang w:eastAsia="hr-HR"/>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D06076" w14:textId="77777777" w:rsidR="00496804" w:rsidRDefault="00496804">
            <w:pPr>
              <w:spacing w:line="240" w:lineRule="auto"/>
              <w:jc w:val="center"/>
              <w:rPr>
                <w:rFonts w:ascii="Times New Roman" w:hAnsi="Times New Roman"/>
                <w:sz w:val="24"/>
                <w:lang w:eastAsia="hr-HR"/>
              </w:rPr>
            </w:pPr>
          </w:p>
        </w:tc>
        <w:tc>
          <w:tcPr>
            <w:tcW w:w="2830" w:type="dxa"/>
            <w:tcBorders>
              <w:top w:val="single" w:sz="4" w:space="0" w:color="auto"/>
              <w:left w:val="single" w:sz="4" w:space="0" w:color="auto"/>
              <w:bottom w:val="single" w:sz="4" w:space="0" w:color="auto"/>
              <w:right w:val="single" w:sz="4" w:space="0" w:color="auto"/>
            </w:tcBorders>
            <w:shd w:val="clear" w:color="auto" w:fill="FFCCA6" w:themeFill="accent5" w:themeFillTint="66"/>
            <w:vAlign w:val="center"/>
          </w:tcPr>
          <w:p w14:paraId="45D0607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1.012.500,00</w:t>
            </w:r>
          </w:p>
        </w:tc>
      </w:tr>
      <w:tr w:rsidR="00496804" w14:paraId="45D0607F" w14:textId="77777777">
        <w:trPr>
          <w:trHeight w:val="499"/>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79"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3.1.</w:t>
            </w:r>
          </w:p>
        </w:tc>
        <w:tc>
          <w:tcPr>
            <w:tcW w:w="3980" w:type="dxa"/>
            <w:tcBorders>
              <w:top w:val="single" w:sz="4" w:space="0" w:color="auto"/>
              <w:left w:val="nil"/>
              <w:bottom w:val="single" w:sz="4" w:space="0" w:color="auto"/>
              <w:right w:val="single" w:sz="4" w:space="0" w:color="auto"/>
            </w:tcBorders>
            <w:shd w:val="clear" w:color="auto" w:fill="auto"/>
            <w:vAlign w:val="center"/>
          </w:tcPr>
          <w:p w14:paraId="45D0607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Afirmacija i informiranje javnosti o kružnom gospodarenju prostorom i zgradama</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7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3.775.000,00</w:t>
            </w:r>
          </w:p>
        </w:tc>
        <w:tc>
          <w:tcPr>
            <w:tcW w:w="1843" w:type="dxa"/>
            <w:vMerge w:val="restart"/>
            <w:tcBorders>
              <w:top w:val="single" w:sz="4" w:space="0" w:color="auto"/>
              <w:left w:val="nil"/>
              <w:bottom w:val="single" w:sz="4" w:space="0" w:color="auto"/>
              <w:right w:val="single" w:sz="4" w:space="0" w:color="auto"/>
            </w:tcBorders>
            <w:vAlign w:val="center"/>
          </w:tcPr>
          <w:p w14:paraId="45D0607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tcBorders>
              <w:top w:val="single" w:sz="4" w:space="0" w:color="auto"/>
              <w:left w:val="nil"/>
              <w:bottom w:val="single" w:sz="4" w:space="0" w:color="auto"/>
              <w:right w:val="single" w:sz="4" w:space="0" w:color="auto"/>
            </w:tcBorders>
            <w:vAlign w:val="center"/>
          </w:tcPr>
          <w:p w14:paraId="45D0607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3.208.750,00</w:t>
            </w:r>
          </w:p>
        </w:tc>
        <w:tc>
          <w:tcPr>
            <w:tcW w:w="2830" w:type="dxa"/>
            <w:tcBorders>
              <w:top w:val="single" w:sz="4" w:space="0" w:color="auto"/>
              <w:left w:val="nil"/>
              <w:bottom w:val="single" w:sz="4" w:space="0" w:color="auto"/>
              <w:right w:val="single" w:sz="4" w:space="0" w:color="auto"/>
            </w:tcBorders>
            <w:vAlign w:val="center"/>
          </w:tcPr>
          <w:p w14:paraId="45D0607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566.250,00</w:t>
            </w:r>
          </w:p>
        </w:tc>
      </w:tr>
      <w:tr w:rsidR="00496804" w14:paraId="45D06086"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8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3.2.</w:t>
            </w:r>
          </w:p>
        </w:tc>
        <w:tc>
          <w:tcPr>
            <w:tcW w:w="3980" w:type="dxa"/>
            <w:tcBorders>
              <w:top w:val="nil"/>
              <w:left w:val="nil"/>
              <w:bottom w:val="single" w:sz="4" w:space="0" w:color="auto"/>
              <w:right w:val="single" w:sz="4" w:space="0" w:color="auto"/>
            </w:tcBorders>
            <w:shd w:val="clear" w:color="auto" w:fill="auto"/>
            <w:vAlign w:val="center"/>
          </w:tcPr>
          <w:p w14:paraId="45D0608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Edukacija o kružnom gospodarenju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8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2.975.000,00</w:t>
            </w:r>
          </w:p>
        </w:tc>
        <w:tc>
          <w:tcPr>
            <w:tcW w:w="1843" w:type="dxa"/>
            <w:vMerge/>
            <w:tcBorders>
              <w:top w:val="single" w:sz="4" w:space="0" w:color="auto"/>
              <w:bottom w:val="single" w:sz="4" w:space="0" w:color="auto"/>
              <w:right w:val="single" w:sz="4" w:space="0" w:color="auto"/>
            </w:tcBorders>
            <w:vAlign w:val="center"/>
          </w:tcPr>
          <w:p w14:paraId="45D06083"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8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2.528.750,00</w:t>
            </w:r>
          </w:p>
        </w:tc>
        <w:tc>
          <w:tcPr>
            <w:tcW w:w="2830" w:type="dxa"/>
            <w:tcBorders>
              <w:top w:val="single" w:sz="4" w:space="0" w:color="auto"/>
              <w:left w:val="nil"/>
              <w:bottom w:val="single" w:sz="4" w:space="0" w:color="auto"/>
              <w:right w:val="single" w:sz="4" w:space="0" w:color="auto"/>
            </w:tcBorders>
            <w:vAlign w:val="center"/>
          </w:tcPr>
          <w:p w14:paraId="45D0608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446.250,00</w:t>
            </w:r>
          </w:p>
        </w:tc>
      </w:tr>
      <w:tr w:rsidR="00496804" w14:paraId="45D0608C" w14:textId="77777777">
        <w:trPr>
          <w:trHeight w:val="499"/>
          <w:jc w:val="center"/>
        </w:trPr>
        <w:tc>
          <w:tcPr>
            <w:tcW w:w="52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D06087"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Ukupno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D0608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4.762.805.000,00</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9"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4.048.384.250,00</w:t>
            </w:r>
          </w:p>
        </w:tc>
        <w:tc>
          <w:tcPr>
            <w:tcW w:w="28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714.420.750,00</w:t>
            </w:r>
          </w:p>
        </w:tc>
      </w:tr>
    </w:tbl>
    <w:p w14:paraId="0B34D5D0" w14:textId="77777777" w:rsidR="00C87FA7" w:rsidRDefault="00C87FA7">
      <w:pPr>
        <w:spacing w:line="240" w:lineRule="auto"/>
        <w:rPr>
          <w:rFonts w:ascii="Times New Roman" w:hAnsi="Times New Roman"/>
          <w:sz w:val="24"/>
        </w:rPr>
      </w:pPr>
    </w:p>
    <w:p w14:paraId="4BC6B148" w14:textId="74DDC018" w:rsidR="001804F6" w:rsidRDefault="001804F6" w:rsidP="001804F6">
      <w:pPr>
        <w:spacing w:after="120" w:line="240" w:lineRule="auto"/>
        <w:rPr>
          <w:rFonts w:ascii="Times New Roman" w:hAnsi="Times New Roman"/>
          <w:sz w:val="24"/>
        </w:rPr>
      </w:pPr>
      <w:r w:rsidRPr="00416CC2">
        <w:rPr>
          <w:rFonts w:ascii="Times New Roman" w:hAnsi="Times New Roman"/>
          <w:sz w:val="24"/>
        </w:rPr>
        <w:t xml:space="preserve">Ministarstvo zaduženo za poslove prostornoga uređenja, graditeljstva i državne imovine izraditi će Akcijski plan razvoja </w:t>
      </w:r>
      <w:r>
        <w:rPr>
          <w:rFonts w:ascii="Times New Roman" w:hAnsi="Times New Roman"/>
          <w:sz w:val="24"/>
        </w:rPr>
        <w:t>kružnog gospodarenja prostorom i zgradama</w:t>
      </w:r>
      <w:r w:rsidRPr="00416CC2">
        <w:rPr>
          <w:rFonts w:ascii="Times New Roman" w:hAnsi="Times New Roman"/>
          <w:sz w:val="24"/>
        </w:rPr>
        <w:t>, sukcesivno za razdoblj</w:t>
      </w:r>
      <w:r w:rsidR="00644A65">
        <w:rPr>
          <w:rFonts w:ascii="Times New Roman" w:hAnsi="Times New Roman"/>
          <w:sz w:val="24"/>
        </w:rPr>
        <w:t>e</w:t>
      </w:r>
      <w:r w:rsidRPr="00416CC2">
        <w:rPr>
          <w:rFonts w:ascii="Times New Roman" w:hAnsi="Times New Roman"/>
          <w:sz w:val="24"/>
        </w:rPr>
        <w:t xml:space="preserve"> </w:t>
      </w:r>
      <w:r w:rsidR="00644A65">
        <w:rPr>
          <w:rFonts w:ascii="Times New Roman" w:hAnsi="Times New Roman"/>
          <w:sz w:val="24"/>
        </w:rPr>
        <w:t xml:space="preserve">od </w:t>
      </w:r>
      <w:r w:rsidRPr="00416CC2">
        <w:rPr>
          <w:rFonts w:ascii="Times New Roman" w:hAnsi="Times New Roman"/>
          <w:sz w:val="24"/>
        </w:rPr>
        <w:t>3</w:t>
      </w:r>
      <w:r w:rsidR="00644A65">
        <w:rPr>
          <w:rFonts w:ascii="Times New Roman" w:hAnsi="Times New Roman"/>
          <w:sz w:val="24"/>
        </w:rPr>
        <w:t xml:space="preserve"> godine</w:t>
      </w:r>
      <w:r w:rsidRPr="00416CC2">
        <w:rPr>
          <w:rFonts w:ascii="Times New Roman" w:hAnsi="Times New Roman"/>
          <w:sz w:val="24"/>
        </w:rPr>
        <w:t xml:space="preserve"> </w:t>
      </w:r>
      <w:r w:rsidR="00644A65">
        <w:rPr>
          <w:rFonts w:ascii="Times New Roman" w:hAnsi="Times New Roman"/>
          <w:sz w:val="24"/>
        </w:rPr>
        <w:t>i</w:t>
      </w:r>
      <w:r w:rsidRPr="00416CC2">
        <w:rPr>
          <w:rFonts w:ascii="Times New Roman" w:hAnsi="Times New Roman"/>
          <w:sz w:val="24"/>
        </w:rPr>
        <w:t xml:space="preserve"> to za razdoblja 202</w:t>
      </w:r>
      <w:r>
        <w:rPr>
          <w:rFonts w:ascii="Times New Roman" w:hAnsi="Times New Roman"/>
          <w:sz w:val="24"/>
        </w:rPr>
        <w:t>2</w:t>
      </w:r>
      <w:r w:rsidRPr="00416CC2">
        <w:rPr>
          <w:rFonts w:ascii="Times New Roman" w:hAnsi="Times New Roman"/>
          <w:sz w:val="24"/>
        </w:rPr>
        <w:t>. do 202</w:t>
      </w:r>
      <w:r>
        <w:rPr>
          <w:rFonts w:ascii="Times New Roman" w:hAnsi="Times New Roman"/>
          <w:sz w:val="24"/>
        </w:rPr>
        <w:t>4</w:t>
      </w:r>
      <w:r w:rsidRPr="00416CC2">
        <w:rPr>
          <w:rFonts w:ascii="Times New Roman" w:hAnsi="Times New Roman"/>
          <w:sz w:val="24"/>
        </w:rPr>
        <w:t>. godine, 202</w:t>
      </w:r>
      <w:r>
        <w:rPr>
          <w:rFonts w:ascii="Times New Roman" w:hAnsi="Times New Roman"/>
          <w:sz w:val="24"/>
        </w:rPr>
        <w:t>5</w:t>
      </w:r>
      <w:r w:rsidRPr="00416CC2">
        <w:rPr>
          <w:rFonts w:ascii="Times New Roman" w:hAnsi="Times New Roman"/>
          <w:sz w:val="24"/>
        </w:rPr>
        <w:t>. do 202</w:t>
      </w:r>
      <w:r>
        <w:rPr>
          <w:rFonts w:ascii="Times New Roman" w:hAnsi="Times New Roman"/>
          <w:sz w:val="24"/>
        </w:rPr>
        <w:t>7</w:t>
      </w:r>
      <w:r w:rsidRPr="00416CC2">
        <w:rPr>
          <w:rFonts w:ascii="Times New Roman" w:hAnsi="Times New Roman"/>
          <w:sz w:val="24"/>
        </w:rPr>
        <w:t>. godine te 202</w:t>
      </w:r>
      <w:r>
        <w:rPr>
          <w:rFonts w:ascii="Times New Roman" w:hAnsi="Times New Roman"/>
          <w:sz w:val="24"/>
        </w:rPr>
        <w:t>8</w:t>
      </w:r>
      <w:r w:rsidRPr="00416CC2">
        <w:rPr>
          <w:rFonts w:ascii="Times New Roman" w:hAnsi="Times New Roman"/>
          <w:sz w:val="24"/>
        </w:rPr>
        <w:t xml:space="preserve">. do 2030. godine. </w:t>
      </w:r>
    </w:p>
    <w:p w14:paraId="50375514" w14:textId="77777777" w:rsidR="001804F6" w:rsidRDefault="001804F6" w:rsidP="001804F6">
      <w:pPr>
        <w:spacing w:line="240" w:lineRule="auto"/>
        <w:rPr>
          <w:rFonts w:ascii="Times New Roman" w:hAnsi="Times New Roman"/>
          <w:sz w:val="24"/>
        </w:rPr>
      </w:pPr>
      <w:r>
        <w:rPr>
          <w:rFonts w:ascii="Times New Roman" w:hAnsi="Times New Roman"/>
          <w:sz w:val="24"/>
        </w:rPr>
        <w:t xml:space="preserve">Akcijski plan će se uskladiti sa Operativnim programom konkurentnost i kohezija 2021-2027. te Integriranim teritorijalnim programom, </w:t>
      </w:r>
      <w:r w:rsidRPr="00EC5A6D">
        <w:rPr>
          <w:rFonts w:ascii="Times New Roman" w:hAnsi="Times New Roman"/>
          <w:sz w:val="24"/>
        </w:rPr>
        <w:t>po završetku procesa usvajanja</w:t>
      </w:r>
      <w:r>
        <w:rPr>
          <w:rFonts w:ascii="Times New Roman" w:hAnsi="Times New Roman"/>
          <w:sz w:val="24"/>
        </w:rPr>
        <w:t>.</w:t>
      </w:r>
    </w:p>
    <w:p w14:paraId="45D0608F" w14:textId="77777777" w:rsidR="00496804" w:rsidRDefault="00496804">
      <w:pPr>
        <w:spacing w:line="240" w:lineRule="auto"/>
        <w:rPr>
          <w:rFonts w:ascii="Times New Roman" w:hAnsi="Times New Roman"/>
          <w:sz w:val="24"/>
        </w:rPr>
      </w:pPr>
    </w:p>
    <w:p w14:paraId="45D06090" w14:textId="77777777" w:rsidR="00496804" w:rsidRDefault="00496804">
      <w:pPr>
        <w:spacing w:line="240" w:lineRule="auto"/>
        <w:rPr>
          <w:rFonts w:ascii="Times New Roman" w:hAnsi="Times New Roman"/>
          <w:sz w:val="24"/>
        </w:rPr>
      </w:pPr>
    </w:p>
    <w:p w14:paraId="45D06091" w14:textId="77777777" w:rsidR="00496804" w:rsidRDefault="0037359D">
      <w:pPr>
        <w:spacing w:line="240" w:lineRule="auto"/>
        <w:jc w:val="left"/>
        <w:rPr>
          <w:rFonts w:ascii="Times New Roman" w:hAnsi="Times New Roman"/>
          <w:sz w:val="24"/>
        </w:rPr>
        <w:sectPr w:rsidR="00496804">
          <w:pgSz w:w="16840" w:h="11900" w:orient="landscape"/>
          <w:pgMar w:top="1134" w:right="1105" w:bottom="1134" w:left="1134" w:header="709" w:footer="289" w:gutter="0"/>
          <w:cols w:space="720"/>
          <w:docGrid w:linePitch="299"/>
        </w:sectPr>
      </w:pPr>
      <w:r>
        <w:rPr>
          <w:rFonts w:ascii="Times New Roman" w:hAnsi="Times New Roman"/>
          <w:sz w:val="24"/>
        </w:rPr>
        <w:br w:type="page"/>
      </w:r>
    </w:p>
    <w:p w14:paraId="45D06094"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24" w:name="_Toc51851658"/>
      <w:r>
        <w:rPr>
          <w:rFonts w:ascii="Times New Roman" w:hAnsi="Times New Roman" w:cs="Times New Roman"/>
          <w:sz w:val="24"/>
          <w:szCs w:val="24"/>
        </w:rPr>
        <w:lastRenderedPageBreak/>
        <w:t>OKVIR ZA PROVEDBU</w:t>
      </w:r>
      <w:bookmarkEnd w:id="224"/>
    </w:p>
    <w:p w14:paraId="45D06095" w14:textId="77777777" w:rsidR="00496804" w:rsidRDefault="00496804">
      <w:pPr>
        <w:spacing w:line="240" w:lineRule="auto"/>
        <w:rPr>
          <w:rFonts w:ascii="Times New Roman" w:hAnsi="Times New Roman"/>
          <w:sz w:val="24"/>
        </w:rPr>
      </w:pPr>
    </w:p>
    <w:p w14:paraId="45D06096" w14:textId="77777777" w:rsidR="00496804" w:rsidRDefault="0037359D">
      <w:pPr>
        <w:pStyle w:val="Naslov2"/>
        <w:ind w:left="426" w:hanging="426"/>
        <w:rPr>
          <w:rFonts w:ascii="Times New Roman" w:hAnsi="Times New Roman" w:cs="Times New Roman"/>
          <w:color w:val="auto"/>
          <w:sz w:val="24"/>
          <w:szCs w:val="24"/>
        </w:rPr>
      </w:pPr>
      <w:bookmarkStart w:id="225" w:name="_Toc38560828"/>
      <w:bookmarkStart w:id="226" w:name="_Toc51851659"/>
      <w:r>
        <w:rPr>
          <w:rFonts w:ascii="Times New Roman" w:hAnsi="Times New Roman" w:cs="Times New Roman"/>
          <w:color w:val="auto"/>
          <w:sz w:val="24"/>
          <w:szCs w:val="24"/>
        </w:rPr>
        <w:t>INSTITUCIONALNI OKVIR</w:t>
      </w:r>
      <w:bookmarkEnd w:id="225"/>
      <w:r>
        <w:rPr>
          <w:rFonts w:ascii="Times New Roman" w:hAnsi="Times New Roman" w:cs="Times New Roman"/>
          <w:color w:val="auto"/>
          <w:sz w:val="24"/>
          <w:szCs w:val="24"/>
        </w:rPr>
        <w:t xml:space="preserve"> PROVEDBE</w:t>
      </w:r>
      <w:bookmarkEnd w:id="226"/>
    </w:p>
    <w:p w14:paraId="45D06097" w14:textId="77777777" w:rsidR="00496804" w:rsidRDefault="00496804">
      <w:pPr>
        <w:pStyle w:val="Bezproreda"/>
        <w:jc w:val="both"/>
        <w:rPr>
          <w:lang w:val="hr-HR"/>
        </w:rPr>
      </w:pPr>
    </w:p>
    <w:p w14:paraId="45D06098" w14:textId="0795F0DD"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Tijelo nadležno za provedbu Programa razvoja KG je ministarstvo nadležno za poslove prostornoga uređenja, graditeljstva i državne imovine. Ministarstvo djeluje kao nositelj ovog</w:t>
      </w:r>
      <w:r w:rsidR="005D1FCC">
        <w:rPr>
          <w:rFonts w:ascii="Times New Roman" w:hAnsi="Times New Roman" w:cs="Times New Roman"/>
          <w:sz w:val="24"/>
          <w:szCs w:val="24"/>
        </w:rPr>
        <w:t>a</w:t>
      </w:r>
      <w:r>
        <w:rPr>
          <w:rFonts w:ascii="Times New Roman" w:hAnsi="Times New Roman" w:cs="Times New Roman"/>
          <w:sz w:val="24"/>
          <w:szCs w:val="24"/>
        </w:rPr>
        <w:t xml:space="preserve"> Programa te kao tijelo zaduženo za poslove kojima se izravno doprinosi razvoju kružnog gospodarenja prostorom i zgradama. Ono je ključni akter u provedbi ovog</w:t>
      </w:r>
      <w:r w:rsidR="005D1FCC">
        <w:rPr>
          <w:rFonts w:ascii="Times New Roman" w:hAnsi="Times New Roman" w:cs="Times New Roman"/>
          <w:sz w:val="24"/>
          <w:szCs w:val="24"/>
        </w:rPr>
        <w:t>a</w:t>
      </w:r>
      <w:r>
        <w:rPr>
          <w:rFonts w:ascii="Times New Roman" w:hAnsi="Times New Roman" w:cs="Times New Roman"/>
          <w:sz w:val="24"/>
          <w:szCs w:val="24"/>
        </w:rPr>
        <w:t xml:space="preserve"> Programa te u poticanju primjene rješenja kojima se doprinosi razvoju kružnog gospodarenja prostorom i zgradama na svim prostornim razinama, od lokalne do nacionalne. </w:t>
      </w:r>
    </w:p>
    <w:p w14:paraId="45D06099" w14:textId="77777777" w:rsidR="00496804" w:rsidRDefault="00496804">
      <w:pPr>
        <w:pStyle w:val="tekst"/>
        <w:spacing w:line="240" w:lineRule="auto"/>
        <w:rPr>
          <w:rFonts w:ascii="Times New Roman" w:hAnsi="Times New Roman" w:cs="Times New Roman"/>
          <w:sz w:val="24"/>
          <w:szCs w:val="24"/>
        </w:rPr>
      </w:pPr>
    </w:p>
    <w:p w14:paraId="45D0609A" w14:textId="01172C7D"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Kružno gospodarstvo je višesektorska i interdisciplinarna politika</w:t>
      </w:r>
      <w:r w:rsidR="00910CDA">
        <w:rPr>
          <w:rFonts w:ascii="Times New Roman" w:hAnsi="Times New Roman" w:cs="Times New Roman"/>
          <w:sz w:val="24"/>
          <w:szCs w:val="24"/>
        </w:rPr>
        <w:t>.</w:t>
      </w:r>
      <w:r>
        <w:rPr>
          <w:rFonts w:ascii="Times New Roman" w:hAnsi="Times New Roman" w:cs="Times New Roman"/>
          <w:sz w:val="24"/>
          <w:szCs w:val="24"/>
        </w:rPr>
        <w:t xml:space="preserve"> </w:t>
      </w:r>
      <w:r w:rsidR="00910CDA">
        <w:rPr>
          <w:rFonts w:ascii="Times New Roman" w:hAnsi="Times New Roman" w:cs="Times New Roman"/>
          <w:sz w:val="24"/>
          <w:szCs w:val="24"/>
        </w:rPr>
        <w:t>Z</w:t>
      </w:r>
      <w:r>
        <w:rPr>
          <w:rFonts w:ascii="Times New Roman" w:hAnsi="Times New Roman" w:cs="Times New Roman"/>
          <w:sz w:val="24"/>
          <w:szCs w:val="24"/>
        </w:rPr>
        <w:t>a uspješnu provedbu ovog</w:t>
      </w:r>
      <w:r w:rsidR="00910CDA">
        <w:rPr>
          <w:rFonts w:ascii="Times New Roman" w:hAnsi="Times New Roman" w:cs="Times New Roman"/>
          <w:sz w:val="24"/>
          <w:szCs w:val="24"/>
        </w:rPr>
        <w:t>a</w:t>
      </w:r>
      <w:r>
        <w:rPr>
          <w:rFonts w:ascii="Times New Roman" w:hAnsi="Times New Roman" w:cs="Times New Roman"/>
          <w:sz w:val="24"/>
          <w:szCs w:val="24"/>
        </w:rPr>
        <w:t xml:space="preserve"> Programa od iznimne je važnosti aktivno sudjelovanje i umrežavanje niza dionika: akademska i znanstveno-stručna zajednica, državne i europske institucije, pravne osobe u vlasništvu RH ili JL(P)RS, pravne osobe u privatnom vlasništvu, ostale financijske institucije, projektantske i građevinske tvrtke, različite udruge građana i nevladine organizacije i drugi.</w:t>
      </w:r>
    </w:p>
    <w:p w14:paraId="45D0609B" w14:textId="77777777" w:rsidR="00496804" w:rsidRDefault="00496804">
      <w:pPr>
        <w:pStyle w:val="tekst"/>
        <w:spacing w:line="240" w:lineRule="auto"/>
        <w:rPr>
          <w:rFonts w:ascii="Times New Roman" w:hAnsi="Times New Roman" w:cs="Times New Roman"/>
          <w:sz w:val="24"/>
          <w:szCs w:val="24"/>
        </w:rPr>
      </w:pPr>
    </w:p>
    <w:p w14:paraId="45D0609C" w14:textId="488DCFCD"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Ciljevi kružnog gospodarenja zgradama i prostorom ne mogu </w:t>
      </w:r>
      <w:r w:rsidR="00910CDA">
        <w:rPr>
          <w:rFonts w:ascii="Times New Roman" w:hAnsi="Times New Roman" w:cs="Times New Roman"/>
          <w:sz w:val="24"/>
          <w:szCs w:val="24"/>
        </w:rPr>
        <w:t xml:space="preserve">se </w:t>
      </w:r>
      <w:r>
        <w:rPr>
          <w:rFonts w:ascii="Times New Roman" w:hAnsi="Times New Roman" w:cs="Times New Roman"/>
          <w:sz w:val="24"/>
          <w:szCs w:val="24"/>
        </w:rPr>
        <w:t xml:space="preserve">ostvariti bez savjetovanja sa svim razinama vlasti, civilnog društva i drugih interesnih skupina te njihova aktivnog sudjelovanja. </w:t>
      </w:r>
    </w:p>
    <w:p w14:paraId="45D0609D" w14:textId="77777777" w:rsidR="00496804" w:rsidRDefault="00496804">
      <w:pPr>
        <w:pStyle w:val="tekst"/>
        <w:spacing w:line="240" w:lineRule="auto"/>
        <w:rPr>
          <w:rFonts w:ascii="Times New Roman" w:hAnsi="Times New Roman" w:cs="Times New Roman"/>
          <w:sz w:val="24"/>
          <w:szCs w:val="24"/>
        </w:rPr>
      </w:pPr>
    </w:p>
    <w:p w14:paraId="45D0609E" w14:textId="13C90CA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Korisnici definiranih mjera i aktivnosti u okviru ovog</w:t>
      </w:r>
      <w:r w:rsidR="00910CDA">
        <w:rPr>
          <w:rFonts w:ascii="Times New Roman" w:hAnsi="Times New Roman" w:cs="Times New Roman"/>
          <w:sz w:val="24"/>
          <w:szCs w:val="24"/>
        </w:rPr>
        <w:t>a</w:t>
      </w:r>
      <w:r>
        <w:rPr>
          <w:rFonts w:ascii="Times New Roman" w:hAnsi="Times New Roman" w:cs="Times New Roman"/>
          <w:sz w:val="24"/>
          <w:szCs w:val="24"/>
        </w:rPr>
        <w:t xml:space="preserve"> Programa su: tijela državne vlasti, ministarstva, središnji državni uredi, državne upravne organizacije i uredi državne uprave u županijama, jedinice lokalne i područne (regionalne) samouprave, pravne osobe u vlasništvu RH ili JL(P)RS, javne ustanove i ustanove koje obavljaju društvene djelatnosti, vjerske zajednice, udruge koje imaju javne ovlasti, javno-privatna partnerstva te predstavnici iz privatnog sektora, kao što su ovlašteni predstavnici suvlasnika zgrada, upravitelji zgrada i sl.</w:t>
      </w:r>
    </w:p>
    <w:p w14:paraId="45D0609F" w14:textId="77777777" w:rsidR="00496804" w:rsidRDefault="00496804">
      <w:pPr>
        <w:pStyle w:val="tekst"/>
        <w:spacing w:line="240" w:lineRule="auto"/>
        <w:rPr>
          <w:rFonts w:ascii="Times New Roman" w:hAnsi="Times New Roman" w:cs="Times New Roman"/>
          <w:sz w:val="24"/>
          <w:szCs w:val="24"/>
        </w:rPr>
      </w:pPr>
    </w:p>
    <w:p w14:paraId="45D060A0" w14:textId="77777777" w:rsidR="00496804" w:rsidRDefault="00496804">
      <w:pPr>
        <w:spacing w:line="240" w:lineRule="auto"/>
        <w:jc w:val="left"/>
        <w:rPr>
          <w:rFonts w:ascii="Times New Roman" w:hAnsi="Times New Roman"/>
          <w:sz w:val="24"/>
        </w:rPr>
      </w:pPr>
    </w:p>
    <w:p w14:paraId="45D060A1" w14:textId="77777777" w:rsidR="00496804" w:rsidRDefault="0037359D">
      <w:pPr>
        <w:pStyle w:val="Naslov2"/>
        <w:ind w:left="426" w:hanging="426"/>
        <w:rPr>
          <w:rFonts w:ascii="Times New Roman" w:hAnsi="Times New Roman" w:cs="Times New Roman"/>
          <w:color w:val="auto"/>
          <w:sz w:val="24"/>
          <w:szCs w:val="24"/>
        </w:rPr>
      </w:pPr>
      <w:bookmarkStart w:id="227" w:name="_Toc38560829"/>
      <w:bookmarkStart w:id="228" w:name="_Toc51851660"/>
      <w:r>
        <w:rPr>
          <w:rFonts w:ascii="Times New Roman" w:hAnsi="Times New Roman" w:cs="Times New Roman"/>
          <w:color w:val="auto"/>
          <w:sz w:val="24"/>
          <w:szCs w:val="24"/>
        </w:rPr>
        <w:t>ZAKONSKI OKVIR PROVEDBE</w:t>
      </w:r>
      <w:bookmarkEnd w:id="227"/>
      <w:bookmarkEnd w:id="228"/>
    </w:p>
    <w:p w14:paraId="45D060A2" w14:textId="77777777" w:rsidR="00496804" w:rsidRDefault="00496804">
      <w:pPr>
        <w:pStyle w:val="tekst"/>
        <w:spacing w:line="240" w:lineRule="auto"/>
        <w:rPr>
          <w:rFonts w:ascii="Times New Roman" w:hAnsi="Times New Roman" w:cs="Times New Roman"/>
          <w:sz w:val="24"/>
          <w:szCs w:val="24"/>
        </w:rPr>
      </w:pPr>
    </w:p>
    <w:p w14:paraId="45D060A3" w14:textId="74566ABF" w:rsidR="00496804" w:rsidRDefault="0037359D">
      <w:pPr>
        <w:pStyle w:val="tekst"/>
        <w:spacing w:line="240" w:lineRule="auto"/>
        <w:rPr>
          <w:rFonts w:ascii="Times New Roman" w:hAnsi="Times New Roman" w:cs="Times New Roman"/>
          <w:sz w:val="24"/>
          <w:szCs w:val="24"/>
        </w:rPr>
      </w:pPr>
      <w:r w:rsidRPr="00AB3F6C">
        <w:rPr>
          <w:rFonts w:ascii="Times New Roman" w:hAnsi="Times New Roman" w:cs="Times New Roman"/>
          <w:sz w:val="24"/>
          <w:szCs w:val="24"/>
        </w:rPr>
        <w:t xml:space="preserve">Uz nadležno ministarstvo bitno je istaknuti relevantni zakonodavni okvir koji definira okvir i uvjete provedbe pojedinih aspekata Programa razvoja KG. </w:t>
      </w:r>
      <w:r w:rsidRPr="005C1720">
        <w:rPr>
          <w:rFonts w:ascii="Times New Roman" w:hAnsi="Times New Roman" w:cs="Times New Roman"/>
          <w:sz w:val="24"/>
          <w:szCs w:val="24"/>
        </w:rPr>
        <w:t>Nadležni zakonski akti relevantni za provedbu ovog</w:t>
      </w:r>
      <w:r w:rsidR="00E02035">
        <w:rPr>
          <w:rFonts w:ascii="Times New Roman" w:hAnsi="Times New Roman" w:cs="Times New Roman"/>
          <w:sz w:val="24"/>
          <w:szCs w:val="24"/>
        </w:rPr>
        <w:t>a</w:t>
      </w:r>
      <w:r w:rsidRPr="005C1720">
        <w:rPr>
          <w:rFonts w:ascii="Times New Roman" w:hAnsi="Times New Roman" w:cs="Times New Roman"/>
          <w:sz w:val="24"/>
          <w:szCs w:val="24"/>
        </w:rPr>
        <w:t xml:space="preserve"> Programa su</w:t>
      </w:r>
      <w:r>
        <w:rPr>
          <w:rFonts w:ascii="Times New Roman" w:hAnsi="Times New Roman" w:cs="Times New Roman"/>
          <w:sz w:val="24"/>
          <w:szCs w:val="24"/>
        </w:rPr>
        <w:t xml:space="preserve"> Zakon o gradnji (</w:t>
      </w:r>
      <w:r w:rsidR="00E02035">
        <w:rPr>
          <w:rFonts w:ascii="Times New Roman" w:hAnsi="Times New Roman" w:cs="Times New Roman"/>
          <w:sz w:val="24"/>
          <w:szCs w:val="24"/>
        </w:rPr>
        <w:t>„</w:t>
      </w:r>
      <w:r>
        <w:rPr>
          <w:rFonts w:ascii="Times New Roman" w:hAnsi="Times New Roman" w:cs="Times New Roman"/>
          <w:sz w:val="24"/>
          <w:szCs w:val="24"/>
        </w:rPr>
        <w:t>N</w:t>
      </w:r>
      <w:r w:rsidR="00E02035">
        <w:rPr>
          <w:rFonts w:ascii="Times New Roman" w:hAnsi="Times New Roman" w:cs="Times New Roman"/>
          <w:sz w:val="24"/>
          <w:szCs w:val="24"/>
        </w:rPr>
        <w:t>arodne novine“, br.</w:t>
      </w:r>
      <w:r>
        <w:rPr>
          <w:rFonts w:ascii="Times New Roman" w:hAnsi="Times New Roman" w:cs="Times New Roman"/>
          <w:sz w:val="24"/>
          <w:szCs w:val="24"/>
        </w:rPr>
        <w:t xml:space="preserve"> 153/13</w:t>
      </w:r>
      <w:r w:rsidR="00E02035">
        <w:rPr>
          <w:rFonts w:ascii="Times New Roman" w:hAnsi="Times New Roman" w:cs="Times New Roman"/>
          <w:sz w:val="24"/>
          <w:szCs w:val="24"/>
        </w:rPr>
        <w:t>.</w:t>
      </w:r>
      <w:r>
        <w:rPr>
          <w:rFonts w:ascii="Times New Roman" w:hAnsi="Times New Roman" w:cs="Times New Roman"/>
          <w:sz w:val="24"/>
          <w:szCs w:val="24"/>
        </w:rPr>
        <w:t>, 20/17</w:t>
      </w:r>
      <w:r w:rsidR="00E02035">
        <w:rPr>
          <w:rFonts w:ascii="Times New Roman" w:hAnsi="Times New Roman" w:cs="Times New Roman"/>
          <w:sz w:val="24"/>
          <w:szCs w:val="24"/>
        </w:rPr>
        <w:t>.</w:t>
      </w:r>
      <w:r>
        <w:rPr>
          <w:rFonts w:ascii="Times New Roman" w:hAnsi="Times New Roman" w:cs="Times New Roman"/>
          <w:sz w:val="24"/>
          <w:szCs w:val="24"/>
        </w:rPr>
        <w:t>, 39/19</w:t>
      </w:r>
      <w:r w:rsidR="00E02035">
        <w:rPr>
          <w:rFonts w:ascii="Times New Roman" w:hAnsi="Times New Roman" w:cs="Times New Roman"/>
          <w:sz w:val="24"/>
          <w:szCs w:val="24"/>
        </w:rPr>
        <w:t>. i</w:t>
      </w:r>
      <w:r>
        <w:rPr>
          <w:rFonts w:ascii="Times New Roman" w:hAnsi="Times New Roman" w:cs="Times New Roman"/>
          <w:sz w:val="24"/>
          <w:szCs w:val="24"/>
        </w:rPr>
        <w:t xml:space="preserve"> 125/19</w:t>
      </w:r>
      <w:r w:rsidR="00E02035">
        <w:rPr>
          <w:rFonts w:ascii="Times New Roman" w:hAnsi="Times New Roman" w:cs="Times New Roman"/>
          <w:sz w:val="24"/>
          <w:szCs w:val="24"/>
        </w:rPr>
        <w:t>.</w:t>
      </w:r>
      <w:r>
        <w:rPr>
          <w:rFonts w:ascii="Times New Roman" w:hAnsi="Times New Roman" w:cs="Times New Roman"/>
          <w:sz w:val="24"/>
          <w:szCs w:val="24"/>
        </w:rPr>
        <w:t>), Zakon o prostornom uređenju (</w:t>
      </w:r>
      <w:r w:rsidR="002A3F7D">
        <w:rPr>
          <w:rFonts w:ascii="Times New Roman" w:hAnsi="Times New Roman" w:cs="Times New Roman"/>
          <w:sz w:val="24"/>
          <w:szCs w:val="24"/>
        </w:rPr>
        <w:t>„</w:t>
      </w:r>
      <w:r>
        <w:rPr>
          <w:rFonts w:ascii="Times New Roman" w:hAnsi="Times New Roman" w:cs="Times New Roman"/>
          <w:sz w:val="24"/>
          <w:szCs w:val="24"/>
        </w:rPr>
        <w:t>N</w:t>
      </w:r>
      <w:r w:rsidR="002A3F7D">
        <w:rPr>
          <w:rFonts w:ascii="Times New Roman" w:hAnsi="Times New Roman" w:cs="Times New Roman"/>
          <w:sz w:val="24"/>
          <w:szCs w:val="24"/>
        </w:rPr>
        <w:t>arodne novine“, br.</w:t>
      </w:r>
      <w:r>
        <w:rPr>
          <w:rFonts w:ascii="Times New Roman" w:hAnsi="Times New Roman" w:cs="Times New Roman"/>
          <w:sz w:val="24"/>
          <w:szCs w:val="24"/>
        </w:rPr>
        <w:t xml:space="preserve"> 153/13</w:t>
      </w:r>
      <w:r w:rsidR="002A3F7D">
        <w:rPr>
          <w:rFonts w:ascii="Times New Roman" w:hAnsi="Times New Roman" w:cs="Times New Roman"/>
          <w:sz w:val="24"/>
          <w:szCs w:val="24"/>
        </w:rPr>
        <w:t>.</w:t>
      </w:r>
      <w:r>
        <w:rPr>
          <w:rFonts w:ascii="Times New Roman" w:hAnsi="Times New Roman" w:cs="Times New Roman"/>
          <w:sz w:val="24"/>
          <w:szCs w:val="24"/>
        </w:rPr>
        <w:t>, 65/17</w:t>
      </w:r>
      <w:r w:rsidR="002A3F7D">
        <w:rPr>
          <w:rFonts w:ascii="Times New Roman" w:hAnsi="Times New Roman" w:cs="Times New Roman"/>
          <w:sz w:val="24"/>
          <w:szCs w:val="24"/>
        </w:rPr>
        <w:t>.</w:t>
      </w:r>
      <w:r>
        <w:rPr>
          <w:rFonts w:ascii="Times New Roman" w:hAnsi="Times New Roman" w:cs="Times New Roman"/>
          <w:sz w:val="24"/>
          <w:szCs w:val="24"/>
        </w:rPr>
        <w:t>, 114/18</w:t>
      </w:r>
      <w:r w:rsidR="002A3F7D">
        <w:rPr>
          <w:rFonts w:ascii="Times New Roman" w:hAnsi="Times New Roman" w:cs="Times New Roman"/>
          <w:sz w:val="24"/>
          <w:szCs w:val="24"/>
        </w:rPr>
        <w:t>.</w:t>
      </w:r>
      <w:r>
        <w:rPr>
          <w:rFonts w:ascii="Times New Roman" w:hAnsi="Times New Roman" w:cs="Times New Roman"/>
          <w:sz w:val="24"/>
          <w:szCs w:val="24"/>
        </w:rPr>
        <w:t>, 39/19</w:t>
      </w:r>
      <w:r w:rsidR="002A3F7D">
        <w:rPr>
          <w:rFonts w:ascii="Times New Roman" w:hAnsi="Times New Roman" w:cs="Times New Roman"/>
          <w:sz w:val="24"/>
          <w:szCs w:val="24"/>
        </w:rPr>
        <w:t>. i</w:t>
      </w:r>
      <w:r>
        <w:rPr>
          <w:rFonts w:ascii="Times New Roman" w:hAnsi="Times New Roman" w:cs="Times New Roman"/>
          <w:sz w:val="24"/>
          <w:szCs w:val="24"/>
        </w:rPr>
        <w:t xml:space="preserve"> 98/19</w:t>
      </w:r>
      <w:r w:rsidR="002A3F7D">
        <w:rPr>
          <w:rFonts w:ascii="Times New Roman" w:hAnsi="Times New Roman" w:cs="Times New Roman"/>
          <w:sz w:val="24"/>
          <w:szCs w:val="24"/>
        </w:rPr>
        <w:t>.</w:t>
      </w:r>
      <w:r>
        <w:rPr>
          <w:rFonts w:ascii="Times New Roman" w:hAnsi="Times New Roman" w:cs="Times New Roman"/>
          <w:sz w:val="24"/>
          <w:szCs w:val="24"/>
        </w:rPr>
        <w:t>), Zakon o sustavu strateškog planiranja i upravljanja razvojem Republike Hrvatske (</w:t>
      </w:r>
      <w:r w:rsidR="007066DC">
        <w:rPr>
          <w:rFonts w:ascii="Times New Roman" w:hAnsi="Times New Roman" w:cs="Times New Roman"/>
          <w:sz w:val="24"/>
          <w:szCs w:val="24"/>
        </w:rPr>
        <w:t>„</w:t>
      </w:r>
      <w:r>
        <w:rPr>
          <w:rFonts w:ascii="Times New Roman" w:hAnsi="Times New Roman" w:cs="Times New Roman"/>
          <w:sz w:val="24"/>
          <w:szCs w:val="24"/>
        </w:rPr>
        <w:t>N</w:t>
      </w:r>
      <w:r w:rsidR="007066DC">
        <w:rPr>
          <w:rFonts w:ascii="Times New Roman" w:hAnsi="Times New Roman" w:cs="Times New Roman"/>
          <w:sz w:val="24"/>
          <w:szCs w:val="24"/>
        </w:rPr>
        <w:t>arodne novine“, broj</w:t>
      </w:r>
      <w:r>
        <w:rPr>
          <w:rFonts w:ascii="Times New Roman" w:hAnsi="Times New Roman" w:cs="Times New Roman"/>
          <w:sz w:val="24"/>
          <w:szCs w:val="24"/>
        </w:rPr>
        <w:t xml:space="preserve"> 123/17</w:t>
      </w:r>
      <w:r w:rsidR="007066DC">
        <w:rPr>
          <w:rFonts w:ascii="Times New Roman" w:hAnsi="Times New Roman" w:cs="Times New Roman"/>
          <w:sz w:val="24"/>
          <w:szCs w:val="24"/>
        </w:rPr>
        <w:t>.</w:t>
      </w:r>
      <w:r>
        <w:rPr>
          <w:rFonts w:ascii="Times New Roman" w:hAnsi="Times New Roman" w:cs="Times New Roman"/>
          <w:sz w:val="24"/>
          <w:szCs w:val="24"/>
        </w:rPr>
        <w:t>) te djelomično</w:t>
      </w:r>
      <w:r w:rsidR="007066DC">
        <w:rPr>
          <w:rFonts w:ascii="Times New Roman" w:hAnsi="Times New Roman" w:cs="Times New Roman"/>
          <w:sz w:val="24"/>
          <w:szCs w:val="24"/>
        </w:rPr>
        <w:t>,</w:t>
      </w:r>
      <w:r>
        <w:rPr>
          <w:rFonts w:ascii="Times New Roman" w:hAnsi="Times New Roman" w:cs="Times New Roman"/>
          <w:sz w:val="24"/>
          <w:szCs w:val="24"/>
        </w:rPr>
        <w:t xml:space="preserve"> s obzirom na tematiku</w:t>
      </w:r>
      <w:r w:rsidR="007066DC">
        <w:rPr>
          <w:rFonts w:ascii="Times New Roman" w:hAnsi="Times New Roman" w:cs="Times New Roman"/>
          <w:sz w:val="24"/>
          <w:szCs w:val="24"/>
        </w:rPr>
        <w:t>,</w:t>
      </w:r>
      <w:r>
        <w:rPr>
          <w:rFonts w:ascii="Times New Roman" w:hAnsi="Times New Roman" w:cs="Times New Roman"/>
          <w:sz w:val="24"/>
          <w:szCs w:val="24"/>
        </w:rPr>
        <w:t xml:space="preserve"> Zakon o zaštiti okoliša (</w:t>
      </w:r>
      <w:r w:rsidR="007066DC">
        <w:rPr>
          <w:rFonts w:ascii="Times New Roman" w:hAnsi="Times New Roman" w:cs="Times New Roman"/>
          <w:sz w:val="24"/>
          <w:szCs w:val="24"/>
        </w:rPr>
        <w:t>„</w:t>
      </w:r>
      <w:r>
        <w:rPr>
          <w:rFonts w:ascii="Times New Roman" w:hAnsi="Times New Roman" w:cs="Times New Roman"/>
          <w:sz w:val="24"/>
          <w:szCs w:val="24"/>
        </w:rPr>
        <w:t>Narodne novine</w:t>
      </w:r>
      <w:r w:rsidR="007066DC">
        <w:rPr>
          <w:rFonts w:ascii="Times New Roman" w:hAnsi="Times New Roman" w:cs="Times New Roman"/>
          <w:sz w:val="24"/>
          <w:szCs w:val="24"/>
        </w:rPr>
        <w:t>“, br.</w:t>
      </w:r>
      <w:r>
        <w:rPr>
          <w:rFonts w:ascii="Times New Roman" w:hAnsi="Times New Roman" w:cs="Times New Roman"/>
          <w:sz w:val="24"/>
          <w:szCs w:val="24"/>
        </w:rPr>
        <w:t xml:space="preserve">  80/13</w:t>
      </w:r>
      <w:r w:rsidR="007066DC">
        <w:rPr>
          <w:rFonts w:ascii="Times New Roman" w:hAnsi="Times New Roman" w:cs="Times New Roman"/>
          <w:sz w:val="24"/>
          <w:szCs w:val="24"/>
        </w:rPr>
        <w:t>.</w:t>
      </w:r>
      <w:r>
        <w:rPr>
          <w:rFonts w:ascii="Times New Roman" w:hAnsi="Times New Roman" w:cs="Times New Roman"/>
          <w:sz w:val="24"/>
          <w:szCs w:val="24"/>
        </w:rPr>
        <w:t>, 153/13</w:t>
      </w:r>
      <w:r w:rsidR="007066DC">
        <w:rPr>
          <w:rFonts w:ascii="Times New Roman" w:hAnsi="Times New Roman" w:cs="Times New Roman"/>
          <w:sz w:val="24"/>
          <w:szCs w:val="24"/>
        </w:rPr>
        <w:t>. – Zakon o gradnji</w:t>
      </w:r>
      <w:r>
        <w:rPr>
          <w:rFonts w:ascii="Times New Roman" w:hAnsi="Times New Roman" w:cs="Times New Roman"/>
          <w:sz w:val="24"/>
          <w:szCs w:val="24"/>
        </w:rPr>
        <w:t>, 78/15</w:t>
      </w:r>
      <w:r w:rsidR="007066DC">
        <w:rPr>
          <w:rFonts w:ascii="Times New Roman" w:hAnsi="Times New Roman" w:cs="Times New Roman"/>
          <w:sz w:val="24"/>
          <w:szCs w:val="24"/>
        </w:rPr>
        <w:t>.</w:t>
      </w:r>
      <w:r>
        <w:rPr>
          <w:rFonts w:ascii="Times New Roman" w:hAnsi="Times New Roman" w:cs="Times New Roman"/>
          <w:sz w:val="24"/>
          <w:szCs w:val="24"/>
        </w:rPr>
        <w:t>, 12/18</w:t>
      </w:r>
      <w:r w:rsidR="007066DC">
        <w:rPr>
          <w:rFonts w:ascii="Times New Roman" w:hAnsi="Times New Roman" w:cs="Times New Roman"/>
          <w:sz w:val="24"/>
          <w:szCs w:val="24"/>
        </w:rPr>
        <w:t>. i</w:t>
      </w:r>
      <w:r>
        <w:rPr>
          <w:rFonts w:ascii="Times New Roman" w:hAnsi="Times New Roman" w:cs="Times New Roman"/>
          <w:sz w:val="24"/>
          <w:szCs w:val="24"/>
        </w:rPr>
        <w:t xml:space="preserve"> 118/18</w:t>
      </w:r>
      <w:r w:rsidR="007066DC">
        <w:rPr>
          <w:rFonts w:ascii="Times New Roman" w:hAnsi="Times New Roman" w:cs="Times New Roman"/>
          <w:sz w:val="24"/>
          <w:szCs w:val="24"/>
        </w:rPr>
        <w:t>.</w:t>
      </w:r>
      <w:r>
        <w:rPr>
          <w:rFonts w:ascii="Times New Roman" w:hAnsi="Times New Roman" w:cs="Times New Roman"/>
          <w:sz w:val="24"/>
          <w:szCs w:val="24"/>
        </w:rPr>
        <w:t>) i Zakon o energetskoj učinkovitosti (</w:t>
      </w:r>
      <w:r w:rsidR="007066DC">
        <w:rPr>
          <w:rFonts w:ascii="Times New Roman" w:hAnsi="Times New Roman" w:cs="Times New Roman"/>
          <w:sz w:val="24"/>
          <w:szCs w:val="24"/>
        </w:rPr>
        <w:t>„</w:t>
      </w:r>
      <w:r>
        <w:rPr>
          <w:rFonts w:ascii="Times New Roman" w:hAnsi="Times New Roman" w:cs="Times New Roman"/>
          <w:sz w:val="24"/>
          <w:szCs w:val="24"/>
        </w:rPr>
        <w:t>N</w:t>
      </w:r>
      <w:r w:rsidR="007066DC">
        <w:rPr>
          <w:rFonts w:ascii="Times New Roman" w:hAnsi="Times New Roman" w:cs="Times New Roman"/>
          <w:sz w:val="24"/>
          <w:szCs w:val="24"/>
        </w:rPr>
        <w:t>arodne novine“, br.</w:t>
      </w:r>
      <w:r>
        <w:rPr>
          <w:rFonts w:ascii="Times New Roman" w:hAnsi="Times New Roman" w:cs="Times New Roman"/>
          <w:sz w:val="24"/>
          <w:szCs w:val="24"/>
        </w:rPr>
        <w:t xml:space="preserve"> 127/14</w:t>
      </w:r>
      <w:r w:rsidR="007066DC">
        <w:rPr>
          <w:rFonts w:ascii="Times New Roman" w:hAnsi="Times New Roman" w:cs="Times New Roman"/>
          <w:sz w:val="24"/>
          <w:szCs w:val="24"/>
        </w:rPr>
        <w:t>.</w:t>
      </w:r>
      <w:r>
        <w:rPr>
          <w:rFonts w:ascii="Times New Roman" w:hAnsi="Times New Roman" w:cs="Times New Roman"/>
          <w:sz w:val="24"/>
          <w:szCs w:val="24"/>
        </w:rPr>
        <w:t>, 116/18</w:t>
      </w:r>
      <w:r w:rsidR="007066DC">
        <w:rPr>
          <w:rFonts w:ascii="Times New Roman" w:hAnsi="Times New Roman" w:cs="Times New Roman"/>
          <w:sz w:val="24"/>
          <w:szCs w:val="24"/>
        </w:rPr>
        <w:t>.</w:t>
      </w:r>
      <w:r>
        <w:rPr>
          <w:rFonts w:ascii="Times New Roman" w:hAnsi="Times New Roman" w:cs="Times New Roman"/>
          <w:sz w:val="24"/>
          <w:szCs w:val="24"/>
        </w:rPr>
        <w:t>, 25/20</w:t>
      </w:r>
      <w:r w:rsidR="007066DC">
        <w:rPr>
          <w:rFonts w:ascii="Times New Roman" w:hAnsi="Times New Roman" w:cs="Times New Roman"/>
          <w:sz w:val="24"/>
          <w:szCs w:val="24"/>
        </w:rPr>
        <w:t>., 32/21. – Odluka Ustavnog suda Republike Hrvatske i 41/21.</w:t>
      </w:r>
      <w:r>
        <w:rPr>
          <w:rFonts w:ascii="Times New Roman" w:hAnsi="Times New Roman" w:cs="Times New Roman"/>
          <w:sz w:val="24"/>
          <w:szCs w:val="24"/>
        </w:rPr>
        <w:t>). Navedeni zakonski akti definiraju uvjete provedbe raznih poslova i aktivnosti kojima se izravno utječe na razvoj kružnog gospodarenja prostorom i zgradama te definiraju nadležnosti za isto.</w:t>
      </w:r>
    </w:p>
    <w:p w14:paraId="45D060A4" w14:textId="77777777" w:rsidR="00496804" w:rsidRDefault="00496804">
      <w:pPr>
        <w:spacing w:line="240" w:lineRule="auto"/>
        <w:jc w:val="left"/>
        <w:rPr>
          <w:rFonts w:ascii="Times New Roman" w:hAnsi="Times New Roman"/>
          <w:sz w:val="24"/>
        </w:rPr>
      </w:pPr>
    </w:p>
    <w:p w14:paraId="45D060A5" w14:textId="77777777" w:rsidR="00496804" w:rsidRDefault="00496804">
      <w:pPr>
        <w:spacing w:line="240" w:lineRule="auto"/>
        <w:jc w:val="left"/>
        <w:rPr>
          <w:rFonts w:ascii="Times New Roman" w:hAnsi="Times New Roman"/>
          <w:sz w:val="24"/>
        </w:rPr>
      </w:pPr>
    </w:p>
    <w:p w14:paraId="45D060A6" w14:textId="77777777" w:rsidR="00496804" w:rsidRDefault="0037359D">
      <w:pPr>
        <w:pStyle w:val="Naslov2"/>
        <w:ind w:left="426" w:hanging="426"/>
        <w:rPr>
          <w:rFonts w:ascii="Times New Roman" w:hAnsi="Times New Roman" w:cs="Times New Roman"/>
          <w:color w:val="auto"/>
          <w:sz w:val="24"/>
          <w:szCs w:val="24"/>
        </w:rPr>
      </w:pPr>
      <w:bookmarkStart w:id="229" w:name="_Toc51851661"/>
      <w:r>
        <w:rPr>
          <w:rFonts w:ascii="Times New Roman" w:hAnsi="Times New Roman" w:cs="Times New Roman"/>
          <w:color w:val="auto"/>
          <w:sz w:val="24"/>
          <w:szCs w:val="24"/>
        </w:rPr>
        <w:t>FINANCIJSKI OKVIR</w:t>
      </w:r>
      <w:bookmarkEnd w:id="229"/>
    </w:p>
    <w:p w14:paraId="45D060A7" w14:textId="77777777" w:rsidR="00496804" w:rsidRDefault="00496804">
      <w:pPr>
        <w:spacing w:line="240" w:lineRule="auto"/>
        <w:rPr>
          <w:rFonts w:ascii="Times New Roman" w:hAnsi="Times New Roman"/>
          <w:sz w:val="24"/>
          <w:lang w:eastAsia="hr-HR"/>
        </w:rPr>
      </w:pPr>
    </w:p>
    <w:p w14:paraId="45D060A8" w14:textId="576DC9C9" w:rsidR="00496804" w:rsidRDefault="0037359D">
      <w:pPr>
        <w:pStyle w:val="paragraph"/>
        <w:jc w:val="both"/>
        <w:textAlignment w:val="baseline"/>
      </w:pPr>
      <w:r>
        <w:t xml:space="preserve">Izvori financijskih sredstava relevantni za realizaciju projekata kružnog gospodarenja prostorom i zgradama odnose se na sredstva Europske unije (Europski strukturni i investicijski fondovi i ostali specijalizirani programi financiranja), na javna sredstva (državna, županijska i lokalna sredstva) te privatni kapital (prvenstveno banke i ostale privatne investitore). Pritom sredstva iz lokalnog / županijskog proračuna predstavljaju početne resurse potrebne za provedbu projekata koji potiču razvoj, inovacije, održivo upravljanje i korištenje nove, održive tehnologije u gradovima i općinama </w:t>
      </w:r>
      <w:r>
        <w:lastRenderedPageBreak/>
        <w:t xml:space="preserve">u RH. Proračun jedinica lokalne i područne </w:t>
      </w:r>
      <w:r w:rsidR="00DB57AB">
        <w:t xml:space="preserve">(regionalne) </w:t>
      </w:r>
      <w:r>
        <w:t xml:space="preserve">samouprave razvija se unaprijed za sljedeće dvije fiskalne godine, s projekcijom prihoda, primitaka i rashoda. Navedeno stoga predstavlja glavni okvir za buduće financiranje svih javnih projekata u jedinicama lokalne i područne </w:t>
      </w:r>
      <w:r w:rsidR="00DB57AB">
        <w:t xml:space="preserve">(regionalne) </w:t>
      </w:r>
      <w:r>
        <w:t>samouprave.</w:t>
      </w:r>
    </w:p>
    <w:p w14:paraId="45D060A9" w14:textId="77777777" w:rsidR="00496804" w:rsidRDefault="00496804">
      <w:pPr>
        <w:spacing w:line="240" w:lineRule="auto"/>
        <w:jc w:val="left"/>
        <w:textAlignment w:val="baseline"/>
        <w:rPr>
          <w:rFonts w:ascii="Times New Roman" w:hAnsi="Times New Roman"/>
          <w:sz w:val="24"/>
          <w:lang w:eastAsia="hr-HR"/>
        </w:rPr>
      </w:pPr>
    </w:p>
    <w:p w14:paraId="45D060AA" w14:textId="3A51424D"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 xml:space="preserve">Najznačajniji izvor za financiranje projekata kružnog gospodarenja prostorom i zgradama kojima se potiče održiv razvoj prostornih jedinica su Europski strukturni i investicijski fondovi (ESIF). Europski strukturni i investicijski fondovi (ESIF) su izvor sredstava za projekte zaštite okoliša, istraživanja i inovacija, obrazovanja, razvoja malog i srednjeg poduzetništva te stoga predstavljaju značajan instrument za razvoj i implementaciju rješenja kojima će se doprinijeti razvoju kružnog gospodarenja prostorom i zgradama. </w:t>
      </w:r>
    </w:p>
    <w:p w14:paraId="45D060AB" w14:textId="77777777" w:rsidR="00496804" w:rsidRDefault="00496804">
      <w:pPr>
        <w:spacing w:line="240" w:lineRule="auto"/>
        <w:textAlignment w:val="baseline"/>
        <w:rPr>
          <w:rFonts w:ascii="Times New Roman" w:hAnsi="Times New Roman"/>
          <w:sz w:val="24"/>
          <w:lang w:eastAsia="hr-HR"/>
        </w:rPr>
      </w:pPr>
    </w:p>
    <w:p w14:paraId="45D060AC" w14:textId="6A273705" w:rsidR="00496804" w:rsidRDefault="00642F66">
      <w:pPr>
        <w:spacing w:line="240" w:lineRule="auto"/>
        <w:textAlignment w:val="baseline"/>
        <w:rPr>
          <w:rFonts w:ascii="Times New Roman" w:hAnsi="Times New Roman"/>
          <w:sz w:val="24"/>
          <w:lang w:eastAsia="hr-HR"/>
        </w:rPr>
      </w:pPr>
      <w:r>
        <w:rPr>
          <w:rFonts w:ascii="Times New Roman" w:hAnsi="Times New Roman"/>
          <w:sz w:val="24"/>
          <w:lang w:eastAsia="hr-HR"/>
        </w:rPr>
        <w:t xml:space="preserve">Prema </w:t>
      </w:r>
      <w:r w:rsidRPr="00416CC2">
        <w:rPr>
          <w:rFonts w:ascii="Times New Roman" w:hAnsi="Times New Roman"/>
          <w:sz w:val="24"/>
        </w:rPr>
        <w:t>Uredb</w:t>
      </w:r>
      <w:r>
        <w:rPr>
          <w:rFonts w:ascii="Times New Roman" w:hAnsi="Times New Roman"/>
          <w:sz w:val="24"/>
        </w:rPr>
        <w:t xml:space="preserve">i </w:t>
      </w:r>
      <w:r w:rsidRPr="000D5BEE">
        <w:rPr>
          <w:rFonts w:ascii="Times New Roman" w:hAnsi="Times New Roman"/>
          <w:sz w:val="24"/>
        </w:rPr>
        <w:t>(EU) 2021/1058</w:t>
      </w:r>
      <w:r w:rsidRPr="00416CC2">
        <w:rPr>
          <w:rFonts w:ascii="Times New Roman" w:hAnsi="Times New Roman"/>
          <w:sz w:val="24"/>
        </w:rPr>
        <w:t xml:space="preserve">, </w:t>
      </w:r>
      <w:r w:rsidR="0037359D">
        <w:rPr>
          <w:rFonts w:ascii="Times New Roman" w:hAnsi="Times New Roman"/>
          <w:sz w:val="24"/>
          <w:lang w:eastAsia="hr-HR"/>
        </w:rPr>
        <w:t>Europski fond za regionalni razvoj (EFRR) i Kohezijski fond (KF) bit</w:t>
      </w:r>
      <w:r w:rsidR="004365C8">
        <w:rPr>
          <w:rFonts w:ascii="Times New Roman" w:hAnsi="Times New Roman"/>
          <w:sz w:val="24"/>
          <w:lang w:eastAsia="hr-HR"/>
        </w:rPr>
        <w:t>i</w:t>
      </w:r>
      <w:r w:rsidR="0037359D">
        <w:rPr>
          <w:rFonts w:ascii="Times New Roman" w:hAnsi="Times New Roman"/>
          <w:sz w:val="24"/>
          <w:lang w:eastAsia="hr-HR"/>
        </w:rPr>
        <w:t xml:space="preserve"> će usmjereni na pet tematskih ciljeva, među kojima se ističe </w:t>
      </w:r>
      <w:r w:rsidR="004365C8">
        <w:rPr>
          <w:rFonts w:ascii="Times New Roman" w:hAnsi="Times New Roman"/>
          <w:sz w:val="24"/>
          <w:lang w:eastAsia="hr-HR"/>
        </w:rPr>
        <w:t xml:space="preserve">posebni </w:t>
      </w:r>
      <w:r w:rsidR="0037359D">
        <w:rPr>
          <w:rFonts w:ascii="Times New Roman" w:hAnsi="Times New Roman"/>
          <w:sz w:val="24"/>
          <w:lang w:eastAsia="hr-HR"/>
        </w:rPr>
        <w:t xml:space="preserve">cilj broj dva - </w:t>
      </w:r>
      <w:r w:rsidR="00DE79D4">
        <w:rPr>
          <w:rFonts w:ascii="Times New Roman" w:hAnsi="Times New Roman"/>
          <w:sz w:val="24"/>
          <w:lang w:eastAsia="hr-HR"/>
        </w:rPr>
        <w:t>z</w:t>
      </w:r>
      <w:r w:rsidR="00DE79D4" w:rsidRPr="00E6160A">
        <w:rPr>
          <w:rFonts w:ascii="Times New Roman" w:hAnsi="Times New Roman"/>
          <w:sz w:val="24"/>
        </w:rPr>
        <w:t>elenija</w:t>
      </w:r>
      <w:r w:rsidR="00DE79D4">
        <w:rPr>
          <w:rFonts w:ascii="Times New Roman" w:hAnsi="Times New Roman"/>
          <w:sz w:val="24"/>
        </w:rPr>
        <w:t xml:space="preserve">, </w:t>
      </w:r>
      <w:r w:rsidR="00DE79D4" w:rsidRPr="00E2004B">
        <w:rPr>
          <w:rFonts w:ascii="Times New Roman" w:hAnsi="Times New Roman"/>
          <w:sz w:val="24"/>
        </w:rPr>
        <w:t>otporna</w:t>
      </w:r>
      <w:r w:rsidR="00DE79D4" w:rsidRPr="00E6160A">
        <w:rPr>
          <w:rFonts w:ascii="Times New Roman" w:hAnsi="Times New Roman"/>
          <w:sz w:val="24"/>
        </w:rPr>
        <w:t xml:space="preserve"> Europa s niskom razinom emisija ugljika </w:t>
      </w:r>
      <w:r w:rsidR="00DE79D4" w:rsidRPr="00E639A8">
        <w:rPr>
          <w:rFonts w:ascii="Times New Roman" w:hAnsi="Times New Roman"/>
          <w:sz w:val="24"/>
        </w:rPr>
        <w:t>koja prelazi na gospodarstvo s nultom neto stopom emisija ugljika promicanjem prijelaza na čistu i pravednu energiju, zelenih i plavih ulaganja, kružnoga gospodarstva, ublažavanja klimatskih promjena i prilagodbe klimatskim promjenama, sprječavanja rizika i upravljanja rizicima te održive gradske mobilnosti</w:t>
      </w:r>
      <w:r w:rsidR="0037359D">
        <w:rPr>
          <w:rFonts w:ascii="Times New Roman" w:hAnsi="Times New Roman"/>
          <w:sz w:val="24"/>
          <w:lang w:eastAsia="hr-HR"/>
        </w:rPr>
        <w:t>, a ostvaruje se, između ostalog</w:t>
      </w:r>
      <w:r w:rsidR="00FE7267">
        <w:rPr>
          <w:rFonts w:ascii="Times New Roman" w:hAnsi="Times New Roman"/>
          <w:sz w:val="24"/>
          <w:lang w:eastAsia="hr-HR"/>
        </w:rPr>
        <w:t>a</w:t>
      </w:r>
      <w:r w:rsidR="0037359D">
        <w:rPr>
          <w:rFonts w:ascii="Times New Roman" w:hAnsi="Times New Roman"/>
          <w:sz w:val="24"/>
          <w:lang w:eastAsia="hr-HR"/>
        </w:rPr>
        <w:t xml:space="preserve">, promicanjem </w:t>
      </w:r>
      <w:r w:rsidR="00105F8A" w:rsidRPr="00105F8A">
        <w:rPr>
          <w:rFonts w:ascii="Times New Roman" w:hAnsi="Times New Roman"/>
          <w:sz w:val="24"/>
          <w:lang w:eastAsia="hr-HR"/>
        </w:rPr>
        <w:t>prijelaza na kružno i resursno učinkovito gospodarstvo</w:t>
      </w:r>
      <w:r w:rsidR="0037359D">
        <w:rPr>
          <w:rFonts w:ascii="Times New Roman" w:hAnsi="Times New Roman"/>
          <w:sz w:val="24"/>
          <w:lang w:eastAsia="hr-HR"/>
        </w:rPr>
        <w:t>.</w:t>
      </w:r>
    </w:p>
    <w:p w14:paraId="45D060AD" w14:textId="77777777" w:rsidR="00496804" w:rsidRDefault="00496804">
      <w:pPr>
        <w:spacing w:line="240" w:lineRule="auto"/>
        <w:textAlignment w:val="baseline"/>
        <w:rPr>
          <w:rFonts w:ascii="Times New Roman" w:hAnsi="Times New Roman"/>
          <w:sz w:val="24"/>
          <w:lang w:eastAsia="hr-HR"/>
        </w:rPr>
      </w:pPr>
    </w:p>
    <w:p w14:paraId="45D060AE" w14:textId="0C161EED"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Navedeni cilj izravno je povezan s realizacijom projekata kružnog gospodarenja prostorom i zgradama, pri čemu se konkretniji prioriteti RH za korištenje navedenih fondova definiraju u operativnim programima RH. Uz navedene fondove, u provedbi Programa razvoja KG moguće je koristiti niz ostalih europskih fondova i mehanizama kao što su Europski fond za strateška ulaganja, Europski fond za energetsku učinkovitost, Obzor Europa, Privatni instrument energetske učinkovitosti (PF4EE), ELENA i LIFE+. Mogućnosti financiranja kružnog gospodarenja prostorom i zgradama pomoću navedenih fondova također će se definirati operativnim programima za višegodišnju financijsku perspektivu 2021.-2017.</w:t>
      </w:r>
    </w:p>
    <w:p w14:paraId="47AD1C86" w14:textId="572C23E2" w:rsidR="00F94158" w:rsidRDefault="00F94158">
      <w:pPr>
        <w:spacing w:line="240" w:lineRule="auto"/>
        <w:textAlignment w:val="baseline"/>
        <w:rPr>
          <w:rFonts w:ascii="Times New Roman" w:hAnsi="Times New Roman"/>
          <w:sz w:val="24"/>
          <w:lang w:eastAsia="hr-HR"/>
        </w:rPr>
      </w:pPr>
    </w:p>
    <w:p w14:paraId="11A644A3" w14:textId="692FBF1E" w:rsidR="00F94158" w:rsidRPr="000B6DEC" w:rsidRDefault="00F94158" w:rsidP="00F94158">
      <w:pPr>
        <w:pStyle w:val="paragraph"/>
        <w:jc w:val="both"/>
        <w:textAlignment w:val="baseline"/>
        <w:rPr>
          <w:rFonts w:eastAsiaTheme="minorHAnsi"/>
          <w:lang w:eastAsia="en-US"/>
        </w:rPr>
      </w:pPr>
      <w:r w:rsidRPr="000B6DEC">
        <w:rPr>
          <w:rFonts w:eastAsiaTheme="minorHAnsi"/>
          <w:lang w:eastAsia="en-US"/>
        </w:rPr>
        <w:t>Dio aktivnosti Programa razvoja KG financirati će se iz EU Mehanizma za oporavak i otpornost</w:t>
      </w:r>
      <w:r w:rsidRPr="000B6DEC">
        <w:rPr>
          <w:rStyle w:val="Referencafusnote"/>
          <w:rFonts w:eastAsiaTheme="minorHAnsi"/>
          <w:lang w:eastAsia="en-US"/>
        </w:rPr>
        <w:footnoteReference w:id="76"/>
      </w:r>
      <w:r w:rsidRPr="000B6DEC">
        <w:rPr>
          <w:rFonts w:eastAsiaTheme="minorHAnsi"/>
          <w:lang w:eastAsia="en-US"/>
        </w:rPr>
        <w:t xml:space="preserve"> putem Nacionalnog plana oporavka i otpornosti 2021.-2026. (NPOO)</w:t>
      </w:r>
      <w:r w:rsidRPr="000B6DEC">
        <w:rPr>
          <w:rStyle w:val="Referencafusnote"/>
          <w:rFonts w:eastAsiaTheme="minorHAnsi"/>
          <w:lang w:eastAsia="en-US"/>
        </w:rPr>
        <w:footnoteReference w:id="77"/>
      </w:r>
      <w:r w:rsidRPr="000B6DEC">
        <w:rPr>
          <w:rFonts w:eastAsiaTheme="minorHAnsi"/>
          <w:lang w:eastAsia="en-US"/>
        </w:rPr>
        <w:t xml:space="preserve">. Reformom </w:t>
      </w:r>
      <w:r w:rsidRPr="000B6DEC">
        <w:t>C6.1. R5 p</w:t>
      </w:r>
      <w:r w:rsidRPr="000B6DEC">
        <w:rPr>
          <w:rFonts w:eastAsiaTheme="minorHAnsi"/>
          <w:lang w:eastAsia="en-US"/>
        </w:rPr>
        <w:t>lanira se uvođenje novog modela strategija zelene urbane obnove i provedba pilot projekta razvoja zelene infrastrukture i kružnog gospodarenja prostorom i zgradama.</w:t>
      </w:r>
      <w:r w:rsidRPr="000B6DEC">
        <w:t xml:space="preserve"> </w:t>
      </w:r>
      <w:r w:rsidRPr="000B6DEC">
        <w:rPr>
          <w:rFonts w:eastAsiaTheme="minorHAnsi"/>
          <w:lang w:eastAsia="en-US"/>
        </w:rPr>
        <w:t>Cilj ove reforme je utvrditi i razviti okvir za izradu i provedbu strategija zelene urbane obnove na lokalnoj razini, kako bi se osigurali temelji razvoja održivog prostora s naglaskom na razvoj zelene infrastrukture i integraciju rješenja temeljenih na prirodi, integraciju modela kružnog gospodarenja prostorom i zgradama, jačanje otpornosti od rizika i klimatskih promjena te kao podrška općem održivom razvoju.</w:t>
      </w:r>
    </w:p>
    <w:p w14:paraId="45D060AF" w14:textId="77777777" w:rsidR="00496804" w:rsidRDefault="00496804">
      <w:pPr>
        <w:spacing w:line="240" w:lineRule="auto"/>
        <w:textAlignment w:val="baseline"/>
        <w:rPr>
          <w:rFonts w:ascii="Times New Roman" w:hAnsi="Times New Roman"/>
          <w:sz w:val="24"/>
          <w:lang w:eastAsia="hr-HR"/>
        </w:rPr>
      </w:pPr>
    </w:p>
    <w:p w14:paraId="45D060B0" w14:textId="34B412F9" w:rsidR="00496804" w:rsidRDefault="0037359D">
      <w:pPr>
        <w:spacing w:line="240" w:lineRule="auto"/>
        <w:rPr>
          <w:rFonts w:ascii="Times New Roman" w:eastAsia="Calibri" w:hAnsi="Times New Roman"/>
          <w:sz w:val="24"/>
          <w:lang w:eastAsia="en-US"/>
        </w:rPr>
      </w:pPr>
      <w:r>
        <w:rPr>
          <w:rFonts w:ascii="Times New Roman" w:eastAsia="Calibri" w:hAnsi="Times New Roman"/>
          <w:sz w:val="24"/>
          <w:lang w:eastAsia="en-US"/>
        </w:rPr>
        <w:t>Kako bi se ostvarili posebni ciljevi definirani u okviru ovog</w:t>
      </w:r>
      <w:r w:rsidR="00FE7267">
        <w:rPr>
          <w:rFonts w:ascii="Times New Roman" w:eastAsia="Calibri" w:hAnsi="Times New Roman"/>
          <w:sz w:val="24"/>
          <w:lang w:eastAsia="en-US"/>
        </w:rPr>
        <w:t>a</w:t>
      </w:r>
      <w:r>
        <w:rPr>
          <w:rFonts w:ascii="Times New Roman" w:eastAsia="Calibri" w:hAnsi="Times New Roman"/>
          <w:sz w:val="24"/>
          <w:lang w:eastAsia="en-US"/>
        </w:rPr>
        <w:t xml:space="preserve"> Programa, nužan preduvjet je osiguravanje dostatnih financijskih sredstava za provedbu utvrđenih aktivnosti, odnosno razvojnih mjera. Upravo financijski aspekt je u prethodnim dijelovima ovog</w:t>
      </w:r>
      <w:r w:rsidR="00022613">
        <w:rPr>
          <w:rFonts w:ascii="Times New Roman" w:eastAsia="Calibri" w:hAnsi="Times New Roman"/>
          <w:sz w:val="24"/>
          <w:lang w:eastAsia="en-US"/>
        </w:rPr>
        <w:t>a</w:t>
      </w:r>
      <w:r>
        <w:rPr>
          <w:rFonts w:ascii="Times New Roman" w:eastAsia="Calibri" w:hAnsi="Times New Roman"/>
          <w:sz w:val="24"/>
          <w:lang w:eastAsia="en-US"/>
        </w:rPr>
        <w:t xml:space="preserve"> Programa istaknut kao jedan od izazova njegove provedbe. Europski strukturni i investicijski fondovi (ESIF), kao najznačajniji izvori za (su)financiranje projekata kružnog gospodarenja prostorom i zgradama, imat će poseban značaj prilikom ostvarenja definiranih posebnih ciljeva. Za realizaciju cjelokupnog Programa razvoja KG nužna su sredstva kojima će se sufinancirati njegova provedba, pri čemu značaj Europskih strukturnih i investicijskih fondova (ESIF) prepoznaje i sama EU koja u </w:t>
      </w:r>
      <w:r w:rsidR="00124A14">
        <w:rPr>
          <w:rFonts w:ascii="Times New Roman" w:eastAsia="Calibri" w:hAnsi="Times New Roman"/>
          <w:sz w:val="24"/>
          <w:lang w:eastAsia="en-US"/>
        </w:rPr>
        <w:t xml:space="preserve">Uredbi </w:t>
      </w:r>
      <w:r w:rsidR="00124A14" w:rsidRPr="000D5BEE">
        <w:rPr>
          <w:rFonts w:ascii="Times New Roman" w:hAnsi="Times New Roman"/>
          <w:sz w:val="24"/>
        </w:rPr>
        <w:t xml:space="preserve">(EU) 2021/1058 </w:t>
      </w:r>
      <w:r>
        <w:rPr>
          <w:rFonts w:ascii="Times New Roman" w:eastAsia="Calibri" w:hAnsi="Times New Roman"/>
          <w:sz w:val="24"/>
          <w:lang w:eastAsia="en-US"/>
        </w:rPr>
        <w:t xml:space="preserve">ističe kako u mnogim državama članicama Europski fond za regionalni razvoj (EFRR) i Kohezijski fond (KF) čine </w:t>
      </w:r>
      <w:r>
        <w:rPr>
          <w:rFonts w:ascii="Times New Roman" w:eastAsia="Calibri" w:hAnsi="Times New Roman"/>
          <w:sz w:val="24"/>
          <w:lang w:eastAsia="en-US"/>
        </w:rPr>
        <w:lastRenderedPageBreak/>
        <w:t>najmanje 50% javnih ulaganja te kako brojne države članice u suprotnom ne bi imale financijski kapacitet za takva ulaganja.</w:t>
      </w:r>
    </w:p>
    <w:p w14:paraId="45D060B1" w14:textId="77777777" w:rsidR="00496804" w:rsidRDefault="00496804">
      <w:pPr>
        <w:spacing w:line="240" w:lineRule="auto"/>
        <w:rPr>
          <w:rFonts w:ascii="Times New Roman" w:eastAsia="Calibri" w:hAnsi="Times New Roman"/>
          <w:sz w:val="24"/>
          <w:lang w:eastAsia="en-US"/>
        </w:rPr>
      </w:pPr>
    </w:p>
    <w:p w14:paraId="45D060B2" w14:textId="72487931" w:rsidR="00496804" w:rsidRDefault="004E4AE7">
      <w:pPr>
        <w:spacing w:line="240" w:lineRule="auto"/>
        <w:textAlignment w:val="baseline"/>
        <w:rPr>
          <w:rFonts w:ascii="Times New Roman" w:hAnsi="Times New Roman"/>
          <w:sz w:val="24"/>
          <w:lang w:eastAsia="hr-HR"/>
        </w:rPr>
      </w:pPr>
      <w:r w:rsidRPr="004E4AE7">
        <w:rPr>
          <w:rFonts w:ascii="Times New Roman" w:hAnsi="Times New Roman"/>
          <w:sz w:val="24"/>
          <w:lang w:eastAsia="hr-HR"/>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r w:rsidR="009F2C6E">
        <w:rPr>
          <w:rStyle w:val="Referencafusnote"/>
          <w:rFonts w:ascii="Times New Roman" w:hAnsi="Times New Roman"/>
          <w:sz w:val="24"/>
          <w:lang w:eastAsia="hr-HR"/>
        </w:rPr>
        <w:footnoteReference w:id="78"/>
      </w:r>
      <w:r w:rsidRPr="004E4AE7" w:rsidDel="004E4AE7">
        <w:rPr>
          <w:rFonts w:ascii="Times New Roman" w:hAnsi="Times New Roman"/>
          <w:sz w:val="24"/>
          <w:lang w:eastAsia="hr-HR"/>
        </w:rPr>
        <w:t xml:space="preserve"> </w:t>
      </w:r>
      <w:r w:rsidR="0037359D">
        <w:rPr>
          <w:rFonts w:ascii="Times New Roman" w:hAnsi="Times New Roman"/>
          <w:sz w:val="24"/>
          <w:lang w:eastAsia="hr-HR"/>
        </w:rPr>
        <w:t xml:space="preserve">navodi kako će </w:t>
      </w:r>
      <w:bookmarkStart w:id="230" w:name="_Hlk38462795"/>
      <w:r w:rsidR="0037359D">
        <w:rPr>
          <w:rFonts w:ascii="Times New Roman" w:hAnsi="Times New Roman"/>
          <w:sz w:val="24"/>
          <w:lang w:eastAsia="hr-HR"/>
        </w:rPr>
        <w:t xml:space="preserve">financijski instrumenti biti ključni mehanizam realizacije ulaganja koja generiraju prihode ili uštedu troškova u razdoblju 2021.-2027. te se predlaže fleksibilnost za kombiniranje bespovratnih sredstava s financijskim instrumentima. Sukladno članku </w:t>
      </w:r>
      <w:r w:rsidR="008B3389">
        <w:rPr>
          <w:rFonts w:ascii="Times New Roman" w:hAnsi="Times New Roman"/>
          <w:sz w:val="24"/>
          <w:lang w:eastAsia="hr-HR"/>
        </w:rPr>
        <w:t>52</w:t>
      </w:r>
      <w:r w:rsidR="0037359D">
        <w:rPr>
          <w:rFonts w:ascii="Times New Roman" w:hAnsi="Times New Roman"/>
          <w:sz w:val="24"/>
          <w:lang w:eastAsia="hr-HR"/>
        </w:rPr>
        <w:t xml:space="preserve">. Uredbe, države članice upotrebljavaju doprinos iz fondova kako bi pružile potporu korisnicima u obliku bespovratnih sredstava, financijskih instrumenata ili nagrada ili u obliku kombinacije navedenog. </w:t>
      </w:r>
      <w:bookmarkEnd w:id="230"/>
      <w:r w:rsidR="000A58AA">
        <w:rPr>
          <w:rFonts w:ascii="Times New Roman" w:hAnsi="Times New Roman"/>
          <w:sz w:val="24"/>
          <w:lang w:eastAsia="hr-HR"/>
        </w:rPr>
        <w:t>Uredba</w:t>
      </w:r>
      <w:r w:rsidR="0037359D">
        <w:rPr>
          <w:rFonts w:ascii="Times New Roman" w:hAnsi="Times New Roman"/>
          <w:sz w:val="24"/>
          <w:lang w:eastAsia="hr-HR"/>
        </w:rPr>
        <w:t xml:space="preserve"> donosi brojna pojednostavljenja, od kojih je važno spomenuti kako više neće postojati posebna pravila za ulaganja kojima se ostvaruje prihod.</w:t>
      </w:r>
    </w:p>
    <w:p w14:paraId="45D060B3" w14:textId="77777777" w:rsidR="00496804" w:rsidRDefault="00496804">
      <w:pPr>
        <w:spacing w:line="240" w:lineRule="auto"/>
        <w:jc w:val="left"/>
        <w:textAlignment w:val="baseline"/>
        <w:rPr>
          <w:rFonts w:ascii="Times New Roman" w:hAnsi="Times New Roman"/>
          <w:sz w:val="24"/>
          <w:lang w:eastAsia="hr-HR"/>
        </w:rPr>
      </w:pPr>
    </w:p>
    <w:p w14:paraId="45D060B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sz w:val="24"/>
          <w:lang w:eastAsia="en-US"/>
        </w:rPr>
        <w:t>U kombinaciji s bespovratnim sredstvima potrebno je uspostaviti financijske instrumente koji će se koristiti za osiguranje financijske konstrukcije dostatne za financiranje vlastitog učešća, odnosno razlike između iznosa ukupnih prihvatljivih izdataka projektnog prijedloga i iznosa bespovratnih sredstava dodijeljenih za financiranje prihvatljivih izdataka te za financiranje ukupnih neprihvatljivih troškova unutar projektnog prijedloga.</w:t>
      </w:r>
    </w:p>
    <w:p w14:paraId="45D060B5" w14:textId="77777777" w:rsidR="00496804" w:rsidRDefault="00496804">
      <w:pPr>
        <w:spacing w:line="240" w:lineRule="auto"/>
        <w:rPr>
          <w:rFonts w:ascii="Times New Roman" w:eastAsia="Calibri" w:hAnsi="Times New Roman"/>
          <w:sz w:val="24"/>
          <w:lang w:eastAsia="en-US"/>
        </w:rPr>
      </w:pPr>
    </w:p>
    <w:p w14:paraId="45D060B6" w14:textId="7B48A3BC" w:rsidR="00496804" w:rsidRDefault="0037359D">
      <w:pPr>
        <w:pStyle w:val="tekst"/>
        <w:spacing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Razne financijske institucije na europskoj i nacionalnoj razini također predstavljaju značajan izvor financijskih sredstava za realizaciju projekata kružnog gospodarenja prostorom i zgradama. Posebice se ističu Europska investicijska banka (EIB) na EU razini te Hrvatska banka za obnovu i razv</w:t>
      </w:r>
      <w:r w:rsidR="006C6687">
        <w:rPr>
          <w:rFonts w:ascii="Times New Roman" w:eastAsia="Calibri" w:hAnsi="Times New Roman" w:cs="Times New Roman"/>
          <w:sz w:val="24"/>
          <w:szCs w:val="24"/>
          <w:lang w:eastAsia="en-US"/>
        </w:rPr>
        <w:t>itak</w:t>
      </w:r>
      <w:r>
        <w:rPr>
          <w:rFonts w:ascii="Times New Roman" w:eastAsia="Calibri" w:hAnsi="Times New Roman" w:cs="Times New Roman"/>
          <w:sz w:val="24"/>
          <w:szCs w:val="24"/>
          <w:lang w:eastAsia="en-US"/>
        </w:rPr>
        <w:t xml:space="preserve"> (HBOR) na nacionalnoj razini. U kontekstu navedenog</w:t>
      </w:r>
      <w:r w:rsidR="006C6687">
        <w:rPr>
          <w:rFonts w:ascii="Times New Roman" w:eastAsia="Calibri" w:hAnsi="Times New Roman" w:cs="Times New Roman"/>
          <w:sz w:val="24"/>
          <w:szCs w:val="24"/>
          <w:lang w:eastAsia="en-US"/>
        </w:rPr>
        <w:t>a</w:t>
      </w:r>
      <w:r>
        <w:rPr>
          <w:rFonts w:ascii="Times New Roman" w:eastAsia="Calibri" w:hAnsi="Times New Roman" w:cs="Times New Roman"/>
          <w:sz w:val="24"/>
          <w:szCs w:val="24"/>
          <w:lang w:eastAsia="en-US"/>
        </w:rPr>
        <w:t>, bitno je istaknuti značaj kombiniranja financijskih sredstava iz različitih izvora, tzv. blending, čijom primjenom značajno rastu potencijali provedbe projekata. Blending predstavlja kombinaciju sredstava iz različitih tipova instrumenata, kao što su primjerice kombiniranje sredstava Europskih strukturnih i investicijskih fondova (ESIF) i sredstava javnih i/ili privatnih banaka (primjerice EIB-a). Ovime se lakše dolazi do potrebnih financijskih sredstava te se pospješuje uspješnost realizacije projekata.</w:t>
      </w:r>
    </w:p>
    <w:p w14:paraId="45D060B7" w14:textId="77777777" w:rsidR="00496804" w:rsidRDefault="00496804">
      <w:pPr>
        <w:pStyle w:val="Bezproreda"/>
        <w:jc w:val="both"/>
        <w:rPr>
          <w:lang w:val="hr-HR"/>
        </w:rPr>
      </w:pPr>
    </w:p>
    <w:p w14:paraId="45D060B8" w14:textId="77777777" w:rsidR="00496804" w:rsidRDefault="00496804">
      <w:pPr>
        <w:spacing w:line="240" w:lineRule="auto"/>
        <w:jc w:val="left"/>
        <w:rPr>
          <w:rFonts w:ascii="Times New Roman" w:hAnsi="Times New Roman"/>
          <w:sz w:val="24"/>
        </w:rPr>
      </w:pPr>
    </w:p>
    <w:p w14:paraId="45D060B9"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31" w:name="_Toc51851662"/>
      <w:r>
        <w:rPr>
          <w:rFonts w:ascii="Times New Roman" w:hAnsi="Times New Roman" w:cs="Times New Roman"/>
          <w:sz w:val="24"/>
          <w:szCs w:val="24"/>
        </w:rPr>
        <w:t>OKVIR ZA PRAĆENJE I VREDNOVANJE</w:t>
      </w:r>
      <w:bookmarkEnd w:id="231"/>
    </w:p>
    <w:p w14:paraId="45D060BA" w14:textId="77777777" w:rsidR="00496804" w:rsidRDefault="00496804">
      <w:pPr>
        <w:spacing w:line="240" w:lineRule="auto"/>
        <w:rPr>
          <w:rFonts w:ascii="Times New Roman" w:hAnsi="Times New Roman"/>
          <w:sz w:val="24"/>
        </w:rPr>
      </w:pPr>
    </w:p>
    <w:p w14:paraId="45D060BB" w14:textId="2CBE55DD" w:rsidR="00496804" w:rsidRDefault="0037359D">
      <w:pPr>
        <w:spacing w:line="240" w:lineRule="auto"/>
        <w:rPr>
          <w:rFonts w:ascii="Times New Roman" w:hAnsi="Times New Roman"/>
          <w:sz w:val="24"/>
          <w:lang w:eastAsia="hr-HR"/>
        </w:rPr>
      </w:pPr>
      <w:r>
        <w:rPr>
          <w:rFonts w:ascii="Times New Roman" w:hAnsi="Times New Roman"/>
          <w:sz w:val="24"/>
        </w:rPr>
        <w:t>Praćenje, izvještavanje i vrednovanje Programa razvoja KG provodi se prema odredbama Zakona o sustavu strateškog planiranja i upravljanja razvojem R</w:t>
      </w:r>
      <w:r w:rsidR="006C6687">
        <w:rPr>
          <w:rFonts w:ascii="Times New Roman" w:hAnsi="Times New Roman"/>
          <w:sz w:val="24"/>
        </w:rPr>
        <w:t>epublike Hrvatske</w:t>
      </w:r>
      <w:r>
        <w:rPr>
          <w:rFonts w:ascii="Times New Roman" w:hAnsi="Times New Roman"/>
          <w:sz w:val="24"/>
        </w:rPr>
        <w:t xml:space="preserve"> i pripadajućim podzakonskim aktima.</w:t>
      </w:r>
    </w:p>
    <w:p w14:paraId="45D060BC" w14:textId="77777777" w:rsidR="00496804" w:rsidRDefault="00496804">
      <w:pPr>
        <w:spacing w:line="240" w:lineRule="auto"/>
        <w:rPr>
          <w:rFonts w:ascii="Times New Roman" w:hAnsi="Times New Roman"/>
          <w:sz w:val="24"/>
        </w:rPr>
      </w:pPr>
    </w:p>
    <w:p w14:paraId="45D060BD" w14:textId="77777777" w:rsidR="00496804" w:rsidRDefault="0037359D">
      <w:pPr>
        <w:pStyle w:val="Naslov2"/>
        <w:ind w:left="426" w:hanging="426"/>
        <w:rPr>
          <w:rFonts w:ascii="Times New Roman" w:hAnsi="Times New Roman" w:cs="Times New Roman"/>
          <w:color w:val="auto"/>
          <w:sz w:val="24"/>
          <w:szCs w:val="24"/>
        </w:rPr>
      </w:pPr>
      <w:bookmarkStart w:id="232" w:name="_Toc51851663"/>
      <w:r>
        <w:rPr>
          <w:rFonts w:ascii="Times New Roman" w:hAnsi="Times New Roman" w:cs="Times New Roman"/>
          <w:color w:val="auto"/>
          <w:sz w:val="24"/>
          <w:szCs w:val="24"/>
        </w:rPr>
        <w:t>PRAĆENJE PROVEDBE</w:t>
      </w:r>
      <w:bookmarkEnd w:id="232"/>
      <w:r>
        <w:rPr>
          <w:rFonts w:ascii="Times New Roman" w:hAnsi="Times New Roman" w:cs="Times New Roman"/>
          <w:color w:val="auto"/>
          <w:sz w:val="24"/>
          <w:szCs w:val="24"/>
        </w:rPr>
        <w:t xml:space="preserve"> </w:t>
      </w:r>
    </w:p>
    <w:p w14:paraId="45D060BE" w14:textId="77777777" w:rsidR="00496804" w:rsidRDefault="00496804">
      <w:pPr>
        <w:spacing w:line="240" w:lineRule="auto"/>
        <w:rPr>
          <w:rFonts w:ascii="Times New Roman" w:hAnsi="Times New Roman"/>
          <w:sz w:val="24"/>
          <w:lang w:eastAsia="hr-HR"/>
        </w:rPr>
      </w:pPr>
    </w:p>
    <w:p w14:paraId="45D060BF" w14:textId="5D39C424"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Sukladno Zakonu o sustavu strateškog planiranja i upravljanja razvojem R</w:t>
      </w:r>
      <w:r w:rsidR="006C6687">
        <w:rPr>
          <w:rFonts w:ascii="Times New Roman" w:hAnsi="Times New Roman" w:cs="Times New Roman"/>
          <w:sz w:val="24"/>
          <w:szCs w:val="24"/>
        </w:rPr>
        <w:t>epublike Hrvatske</w:t>
      </w:r>
      <w:r>
        <w:rPr>
          <w:rFonts w:ascii="Times New Roman" w:hAnsi="Times New Roman" w:cs="Times New Roman"/>
          <w:sz w:val="24"/>
          <w:szCs w:val="24"/>
        </w:rPr>
        <w:t xml:space="preserve"> praćenje provedbe Programa razvoja KG provodi se putem informacijskog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w:t>
      </w:r>
      <w:r>
        <w:rPr>
          <w:rFonts w:ascii="Times New Roman" w:hAnsi="Times New Roman" w:cs="Times New Roman"/>
          <w:sz w:val="24"/>
          <w:szCs w:val="24"/>
        </w:rPr>
        <w:lastRenderedPageBreak/>
        <w:t>u pripremanju izvješća o provedbi akata strateškog planiranja. Za praćenje i izvještavanje provedbe ovog</w:t>
      </w:r>
      <w:r w:rsidR="006C6687">
        <w:rPr>
          <w:rFonts w:ascii="Times New Roman" w:hAnsi="Times New Roman" w:cs="Times New Roman"/>
          <w:sz w:val="24"/>
          <w:szCs w:val="24"/>
        </w:rPr>
        <w:t>a</w:t>
      </w:r>
      <w:r>
        <w:rPr>
          <w:rFonts w:ascii="Times New Roman" w:hAnsi="Times New Roman" w:cs="Times New Roman"/>
          <w:sz w:val="24"/>
          <w:szCs w:val="24"/>
        </w:rPr>
        <w:t xml:space="preserve"> Programa odgovoran je koordinator za strateško planiranje ministarstva nadležnog za poslove prostornoga uređenja, graditeljstva i državne imovine, pri čemu je dužan prikupljati i unositi pokazatelje o provedbi istoga u informacijski sustav. Praćenje provedbe Programa razvoja KG vrši se temeljem godišnjih izvješća o provedbi kojim se prati provedba posebnih ciljeva, odnosno pokazatelja ishoda istih, koje ministarstvo nadležno za poslove prostornoga uređenja, graditeljstva i državne imovine (nositelj Programa razvoja KG) dostavlja Koordinacijskom tijelu - </w:t>
      </w:r>
      <w:r w:rsidR="00D27E93">
        <w:rPr>
          <w:rFonts w:ascii="Times New Roman" w:hAnsi="Times New Roman" w:cs="Times New Roman"/>
          <w:sz w:val="24"/>
          <w:szCs w:val="24"/>
        </w:rPr>
        <w:t>M</w:t>
      </w:r>
      <w:r w:rsidR="00D957E3">
        <w:rPr>
          <w:rFonts w:ascii="Times New Roman" w:hAnsi="Times New Roman" w:cs="Times New Roman"/>
          <w:sz w:val="24"/>
          <w:szCs w:val="24"/>
        </w:rPr>
        <w:t>inistarstvu</w:t>
      </w:r>
      <w:r w:rsidRPr="0037359D">
        <w:rPr>
          <w:rFonts w:ascii="Times New Roman" w:hAnsi="Times New Roman" w:cs="Times New Roman"/>
          <w:sz w:val="24"/>
          <w:szCs w:val="24"/>
        </w:rPr>
        <w:t xml:space="preserve"> regionalnoga razvoja i fondova E</w:t>
      </w:r>
      <w:r w:rsidR="00DA74DC">
        <w:rPr>
          <w:rFonts w:ascii="Times New Roman" w:hAnsi="Times New Roman" w:cs="Times New Roman"/>
          <w:sz w:val="24"/>
          <w:szCs w:val="24"/>
        </w:rPr>
        <w:t>uropske unije</w:t>
      </w:r>
      <w:r>
        <w:rPr>
          <w:rFonts w:ascii="Times New Roman" w:hAnsi="Times New Roman" w:cs="Times New Roman"/>
          <w:sz w:val="24"/>
          <w:szCs w:val="24"/>
        </w:rPr>
        <w:t>.</w:t>
      </w:r>
    </w:p>
    <w:p w14:paraId="45D060C0" w14:textId="77777777" w:rsidR="00496804" w:rsidRDefault="00496804">
      <w:pPr>
        <w:pStyle w:val="tekst"/>
        <w:spacing w:line="240" w:lineRule="auto"/>
        <w:rPr>
          <w:rFonts w:ascii="Times New Roman" w:hAnsi="Times New Roman" w:cs="Times New Roman"/>
          <w:sz w:val="24"/>
          <w:szCs w:val="24"/>
        </w:rPr>
      </w:pPr>
    </w:p>
    <w:p w14:paraId="45D060C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Prema Zakonu o sustavu strateškog planiranja i upravljanja razvojem Republike Hrvatske, informacijski sustav za strateško planiranje i upravljanje razvojem je informacijsko-komunikacijska platforma koja se koristi za prikupljanje, analizu i pohranu podataka i pokazatelja za izradu, praćenje i izvješćivanje o provedbi akata strateškog planiranja i razvojnih projekata koji su u pripremi. Praćenje provedbe definirano je kao proces prikupljanja, analize i usporedbe pokazatelja kojima se sustavno prati uspješnost provedbe ciljeva i mjera akata strateškog planiranja. Dane su i definicije pokazatelja: pokazatelj ishoda je kvantitativni i kvalitativni mjerljivi podatak koji omogućuje praćenje, izvješćivanje i vrednovanje uspješnosti u postizanju utvrđenog posebnog cilja, pokazatelj rezultata je kvantitativni i kvalitativni mjerljivi podatak koji omogućuje praćenje, izvješćivanje i vrednovanje uspješnosti u provedbi utvrđene mjere, projekta i aktivnosti, a pokazatelj učinka je kvantitativni i kvalitativni mjerljivi podatak koji omogućuje praćenje, izvješćivanje i vrednovanje uspješnosti u postizanju utvrđenog strateškog cilja.</w:t>
      </w:r>
    </w:p>
    <w:p w14:paraId="45D060C2" w14:textId="77777777" w:rsidR="00496804" w:rsidRDefault="00496804">
      <w:pPr>
        <w:pStyle w:val="tekst"/>
        <w:spacing w:line="240" w:lineRule="auto"/>
        <w:rPr>
          <w:rFonts w:ascii="Times New Roman" w:hAnsi="Times New Roman" w:cs="Times New Roman"/>
          <w:sz w:val="24"/>
          <w:szCs w:val="24"/>
        </w:rPr>
      </w:pPr>
    </w:p>
    <w:p w14:paraId="45D060C3" w14:textId="476C6879"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Pokazatelji ishoda posebnih ciljeva i pokazatelji rezultata razvojnih mjera u okviru ovog</w:t>
      </w:r>
      <w:r w:rsidR="00DA74DC">
        <w:rPr>
          <w:rFonts w:ascii="Times New Roman" w:hAnsi="Times New Roman" w:cs="Times New Roman"/>
          <w:sz w:val="24"/>
          <w:szCs w:val="24"/>
        </w:rPr>
        <w:t>a</w:t>
      </w:r>
      <w:r>
        <w:rPr>
          <w:rFonts w:ascii="Times New Roman" w:hAnsi="Times New Roman" w:cs="Times New Roman"/>
          <w:sz w:val="24"/>
          <w:szCs w:val="24"/>
        </w:rPr>
        <w:t xml:space="preserve"> Programa definirani su na temelju planiranih aktivnosti, analize postojećeg stanja, te prema procjenama i projekcijama učinaka koji se očekuju realizacijom aktivnosti i razvojnih mjera. Praćenje ostvarenja svakog od pokazatelja ishoda i pokazatelja rezultata provodi se na način opisan u nastavku dokumenta.</w:t>
      </w:r>
    </w:p>
    <w:p w14:paraId="45D060C4" w14:textId="77777777" w:rsidR="00496804" w:rsidRDefault="00496804">
      <w:pPr>
        <w:pStyle w:val="tekst"/>
        <w:spacing w:line="240" w:lineRule="auto"/>
        <w:rPr>
          <w:rFonts w:ascii="Times New Roman" w:hAnsi="Times New Roman" w:cs="Times New Roman"/>
          <w:sz w:val="24"/>
          <w:szCs w:val="24"/>
        </w:rPr>
      </w:pPr>
    </w:p>
    <w:p w14:paraId="45D060C5" w14:textId="77777777" w:rsidR="00496804" w:rsidRDefault="0037359D">
      <w:pPr>
        <w:spacing w:line="240" w:lineRule="auto"/>
        <w:jc w:val="left"/>
        <w:rPr>
          <w:rFonts w:ascii="Times New Roman" w:hAnsi="Times New Roman"/>
          <w:b/>
          <w:bCs/>
          <w:sz w:val="24"/>
          <w:lang w:eastAsia="en-US"/>
        </w:rPr>
      </w:pPr>
      <w:r>
        <w:rPr>
          <w:rFonts w:ascii="Times New Roman" w:hAnsi="Times New Roman"/>
          <w:sz w:val="24"/>
        </w:rPr>
        <w:br w:type="page"/>
      </w:r>
      <w:r>
        <w:rPr>
          <w:rFonts w:ascii="Times New Roman" w:hAnsi="Times New Roman"/>
          <w:b/>
          <w:bCs/>
          <w:sz w:val="24"/>
          <w:lang w:eastAsia="en-US"/>
        </w:rPr>
        <w:lastRenderedPageBreak/>
        <w:t>PRAĆENJE POKAZATELJA ISHODA POSEBNIH CILJEVA</w:t>
      </w:r>
    </w:p>
    <w:p w14:paraId="45D060C6" w14:textId="77777777" w:rsidR="00496804" w:rsidRDefault="00496804">
      <w:pPr>
        <w:spacing w:line="240" w:lineRule="auto"/>
        <w:rPr>
          <w:rFonts w:ascii="Times New Roman" w:hAnsi="Times New Roman"/>
          <w:i/>
          <w:iCs/>
          <w:sz w:val="24"/>
        </w:rPr>
      </w:pPr>
    </w:p>
    <w:p w14:paraId="45D060C7"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28. Praćenje pokazatelja ishoda posebnih ciljeva</w:t>
      </w:r>
    </w:p>
    <w:tbl>
      <w:tblPr>
        <w:tblStyle w:val="Reetkatablice3"/>
        <w:tblW w:w="5000" w:type="pct"/>
        <w:tblLook w:val="04A0" w:firstRow="1" w:lastRow="0" w:firstColumn="1" w:lastColumn="0" w:noHBand="0" w:noVBand="1"/>
      </w:tblPr>
      <w:tblGrid>
        <w:gridCol w:w="2550"/>
        <w:gridCol w:w="3541"/>
        <w:gridCol w:w="3531"/>
      </w:tblGrid>
      <w:tr w:rsidR="00496804" w14:paraId="45D060C9" w14:textId="77777777">
        <w:trPr>
          <w:trHeight w:val="450"/>
        </w:trPr>
        <w:tc>
          <w:tcPr>
            <w:tcW w:w="5000" w:type="pct"/>
            <w:gridSpan w:val="3"/>
            <w:shd w:val="clear" w:color="auto" w:fill="FFCCA6" w:themeFill="accent5" w:themeFillTint="66"/>
          </w:tcPr>
          <w:p w14:paraId="45D060C8" w14:textId="77777777" w:rsidR="00496804" w:rsidRDefault="0037359D">
            <w:pPr>
              <w:spacing w:line="240" w:lineRule="auto"/>
              <w:ind w:left="22"/>
              <w:rPr>
                <w:rFonts w:ascii="Times New Roman" w:eastAsia="Calibri" w:hAnsi="Times New Roman"/>
                <w:b/>
                <w:bCs/>
                <w:sz w:val="24"/>
                <w:lang w:eastAsia="en-US"/>
              </w:rPr>
            </w:pPr>
            <w:r>
              <w:rPr>
                <w:rFonts w:ascii="Times New Roman" w:eastAsia="Calibri" w:hAnsi="Times New Roman"/>
                <w:b/>
                <w:bCs/>
                <w:sz w:val="24"/>
                <w:lang w:eastAsia="en-US"/>
              </w:rPr>
              <w:t>Naziv posebnog cilja: 1. Razvoj sustava kružnog gospodarenja prostorom i zgradama</w:t>
            </w:r>
          </w:p>
        </w:tc>
      </w:tr>
      <w:tr w:rsidR="00496804" w14:paraId="45D060CB" w14:textId="77777777">
        <w:tc>
          <w:tcPr>
            <w:tcW w:w="5000" w:type="pct"/>
            <w:gridSpan w:val="3"/>
          </w:tcPr>
          <w:p w14:paraId="45D060C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xml:space="preserve">: </w:t>
            </w:r>
            <w:r>
              <w:rPr>
                <w:rFonts w:ascii="Times New Roman" w:hAnsi="Times New Roman"/>
                <w:sz w:val="24"/>
              </w:rPr>
              <w:t>Razvoj digitalnih javnih usluga za kružno gospodarenje prostorom i zgradama</w:t>
            </w:r>
          </w:p>
        </w:tc>
      </w:tr>
      <w:tr w:rsidR="00496804" w14:paraId="45D060CD" w14:textId="77777777">
        <w:tc>
          <w:tcPr>
            <w:tcW w:w="5000" w:type="pct"/>
            <w:gridSpan w:val="3"/>
          </w:tcPr>
          <w:p w14:paraId="45D060C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xml:space="preserve">: Broj novouspostavljenih digitalnih javnih usluga koje su u funkciji </w:t>
            </w:r>
            <w:r>
              <w:rPr>
                <w:rFonts w:ascii="Times New Roman" w:hAnsi="Times New Roman"/>
                <w:sz w:val="24"/>
              </w:rPr>
              <w:t>kružnog gospodarenja prostorom i zgradama</w:t>
            </w:r>
          </w:p>
        </w:tc>
      </w:tr>
      <w:tr w:rsidR="00496804" w14:paraId="45D060D1" w14:textId="77777777">
        <w:tc>
          <w:tcPr>
            <w:tcW w:w="1325" w:type="pct"/>
          </w:tcPr>
          <w:p w14:paraId="45D060CE"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C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D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w:t>
            </w:r>
          </w:p>
        </w:tc>
      </w:tr>
      <w:tr w:rsidR="00496804" w14:paraId="45D060D3" w14:textId="77777777">
        <w:tc>
          <w:tcPr>
            <w:tcW w:w="5000" w:type="pct"/>
            <w:gridSpan w:val="3"/>
          </w:tcPr>
          <w:p w14:paraId="45D060D2"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0D5" w14:textId="77777777">
        <w:tc>
          <w:tcPr>
            <w:tcW w:w="5000" w:type="pct"/>
            <w:gridSpan w:val="3"/>
          </w:tcPr>
          <w:p w14:paraId="45D060D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Ministarstvo nadležno za poslove prostornoga uređenja, graditeljstva i državne imovine nositelj je aktivnosti te raspolaže podacima o broju dostupnih digitalnih usluga vezanih uz planiranje i razvoj </w:t>
            </w:r>
            <w:r>
              <w:rPr>
                <w:rFonts w:ascii="Times New Roman" w:hAnsi="Times New Roman"/>
                <w:sz w:val="24"/>
              </w:rPr>
              <w:t>kružnog gospodarenja prostorom i zgradama</w:t>
            </w:r>
            <w:r>
              <w:rPr>
                <w:rFonts w:ascii="Times New Roman" w:eastAsia="Calibri" w:hAnsi="Times New Roman"/>
                <w:sz w:val="24"/>
                <w:lang w:eastAsia="en-US"/>
              </w:rPr>
              <w:t xml:space="preserve">, koji se koriste u svrhu praćenja ostvarenja pokazatelja. </w:t>
            </w:r>
          </w:p>
        </w:tc>
      </w:tr>
      <w:tr w:rsidR="00496804" w14:paraId="45D060D7" w14:textId="77777777">
        <w:tc>
          <w:tcPr>
            <w:tcW w:w="5000" w:type="pct"/>
            <w:gridSpan w:val="3"/>
            <w:shd w:val="clear" w:color="auto" w:fill="FFCCA6" w:themeFill="accent5" w:themeFillTint="66"/>
          </w:tcPr>
          <w:p w14:paraId="45D060D6" w14:textId="77777777" w:rsidR="00496804" w:rsidRDefault="0037359D">
            <w:pPr>
              <w:spacing w:line="240" w:lineRule="auto"/>
              <w:rPr>
                <w:rFonts w:ascii="Times New Roman" w:eastAsia="Calibri" w:hAnsi="Times New Roman"/>
                <w:b/>
                <w:bCs/>
                <w:sz w:val="24"/>
                <w:lang w:eastAsia="en-US"/>
              </w:rPr>
            </w:pPr>
            <w:r>
              <w:rPr>
                <w:rFonts w:ascii="Times New Roman" w:eastAsia="Calibri" w:hAnsi="Times New Roman"/>
                <w:b/>
                <w:bCs/>
                <w:sz w:val="24"/>
                <w:lang w:eastAsia="en-US"/>
              </w:rPr>
              <w:t>Naziv posebnog cilja: 2. Kružna obnova nekorištenih prostora i zgrada</w:t>
            </w:r>
          </w:p>
        </w:tc>
      </w:tr>
      <w:tr w:rsidR="00496804" w14:paraId="45D060D9" w14:textId="77777777">
        <w:tc>
          <w:tcPr>
            <w:tcW w:w="5000" w:type="pct"/>
            <w:gridSpan w:val="3"/>
          </w:tcPr>
          <w:p w14:paraId="45D060D8" w14:textId="77777777" w:rsidR="00496804" w:rsidRDefault="0037359D">
            <w:pPr>
              <w:spacing w:line="240" w:lineRule="auto"/>
              <w:ind w:left="22" w:hanging="22"/>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Kružno obnovljene zgrade u okviru pilot projekata i poziva</w:t>
            </w:r>
          </w:p>
        </w:tc>
      </w:tr>
      <w:tr w:rsidR="00496804" w14:paraId="45D060DB" w14:textId="77777777">
        <w:tc>
          <w:tcPr>
            <w:tcW w:w="5000" w:type="pct"/>
            <w:gridSpan w:val="3"/>
          </w:tcPr>
          <w:p w14:paraId="45D060D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Broj kružno obnovljenih zgrada u okviru pilot projekata i poziva na dostavu projektnih prijedloga za kružnu obnovu nekorištenih zgrada i zona (monofunkcionalne ili polifunkcionalne).</w:t>
            </w:r>
          </w:p>
        </w:tc>
      </w:tr>
      <w:tr w:rsidR="00496804" w14:paraId="45D060DF" w14:textId="77777777">
        <w:tc>
          <w:tcPr>
            <w:tcW w:w="1325" w:type="pct"/>
          </w:tcPr>
          <w:p w14:paraId="45D060D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D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DE"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300</w:t>
            </w:r>
          </w:p>
        </w:tc>
      </w:tr>
      <w:tr w:rsidR="00496804" w14:paraId="45D060E1" w14:textId="77777777">
        <w:tc>
          <w:tcPr>
            <w:tcW w:w="5000" w:type="pct"/>
            <w:gridSpan w:val="3"/>
          </w:tcPr>
          <w:p w14:paraId="45D060E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Periodična i završna izvješća o napretku i završetku realizacije projekata kružnog gospodarenja prostorom i zgradama (pilot projekti i projekti kružne obnove nekorištenih zgrada i zona (monofunkcionalne ili polifunkcionalne) koji će biti financirani kroz javne pozive u okviru provedbe Programa razvoja KG).</w:t>
            </w:r>
          </w:p>
        </w:tc>
      </w:tr>
      <w:tr w:rsidR="00496804" w14:paraId="45D060E3" w14:textId="77777777">
        <w:tc>
          <w:tcPr>
            <w:tcW w:w="5000" w:type="pct"/>
            <w:gridSpan w:val="3"/>
          </w:tcPr>
          <w:p w14:paraId="45D060E2"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Ostvarenje pokazatelja pratit će se putem periodičnih izvješća o provedbi projekata kružnog gospodarenja prostorom i zgradama koja će nositelji projekata (kojima su odobrena sredstva za sufinanciranje u okviru javnih poziva) podnositi ministarstvu nadležnom za poslove prostornoga uređenja, graditeljstva i državne imovine svaka tri mjeseca tijekom provedbe projekta (tromjesečna izvješća). Po dovršetku provedbe projekta podnosi se završno izvješće koje sadrži podatke o cjelokupnim ostvarenim rezultatima.</w:t>
            </w:r>
          </w:p>
        </w:tc>
      </w:tr>
      <w:tr w:rsidR="00496804" w14:paraId="45D060E5" w14:textId="77777777">
        <w:tc>
          <w:tcPr>
            <w:tcW w:w="5000" w:type="pct"/>
            <w:gridSpan w:val="3"/>
            <w:shd w:val="clear" w:color="auto" w:fill="FFCCA6" w:themeFill="accent5" w:themeFillTint="66"/>
          </w:tcPr>
          <w:p w14:paraId="45D060E4" w14:textId="77777777" w:rsidR="00496804" w:rsidRDefault="0037359D">
            <w:pPr>
              <w:spacing w:line="240" w:lineRule="auto"/>
              <w:rPr>
                <w:rFonts w:ascii="Times New Roman" w:eastAsia="Calibri" w:hAnsi="Times New Roman"/>
                <w:b/>
                <w:bCs/>
                <w:sz w:val="24"/>
                <w:lang w:eastAsia="en-US"/>
              </w:rPr>
            </w:pPr>
            <w:r>
              <w:rPr>
                <w:rFonts w:ascii="Times New Roman" w:eastAsia="Calibri" w:hAnsi="Times New Roman"/>
                <w:b/>
                <w:bCs/>
                <w:sz w:val="24"/>
                <w:lang w:eastAsia="en-US"/>
              </w:rPr>
              <w:t>Naziv posebnog cilja: 3. Visoka razina znanja i društvene svijesti o kružnom gospodarenju prostorom i zgradama</w:t>
            </w:r>
          </w:p>
        </w:tc>
      </w:tr>
      <w:tr w:rsidR="00496804" w14:paraId="45D060E7" w14:textId="77777777">
        <w:tc>
          <w:tcPr>
            <w:tcW w:w="5000" w:type="pct"/>
            <w:gridSpan w:val="3"/>
          </w:tcPr>
          <w:p w14:paraId="45D060E6"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Stanovništvo koje je imalo izravan doticaj s informacijama o kružnom gospodarenju prostorom i zgradama, kroz objave u stručnim publikacijama, sudjelovanjem na održanim radionicama, konferencijama i sl.</w:t>
            </w:r>
          </w:p>
        </w:tc>
      </w:tr>
      <w:tr w:rsidR="00496804" w14:paraId="45D060E9" w14:textId="77777777">
        <w:tc>
          <w:tcPr>
            <w:tcW w:w="5000" w:type="pct"/>
            <w:gridSpan w:val="3"/>
          </w:tcPr>
          <w:p w14:paraId="45D060E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Broj stanovnika u RH koji su imali izravan doticaj s informacijama vezanima uz razvoj kružnog gospodarenja prostorom i zgradama, posebice kroz objave u stručnim publikacijama te sudjelovanjem na događanjima kojima je svrha informiranje građana i širenje znanja o kružnom gospodarenju prostorom i zgradama.</w:t>
            </w:r>
          </w:p>
        </w:tc>
      </w:tr>
      <w:tr w:rsidR="00496804" w14:paraId="45D060ED" w14:textId="77777777">
        <w:tc>
          <w:tcPr>
            <w:tcW w:w="1325" w:type="pct"/>
          </w:tcPr>
          <w:p w14:paraId="45D060E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E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E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10.000</w:t>
            </w:r>
          </w:p>
        </w:tc>
      </w:tr>
      <w:tr w:rsidR="00496804" w14:paraId="45D060EF" w14:textId="77777777">
        <w:tc>
          <w:tcPr>
            <w:tcW w:w="5000" w:type="pct"/>
            <w:gridSpan w:val="3"/>
          </w:tcPr>
          <w:p w14:paraId="45D060EE" w14:textId="0C26921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xml:space="preserve">: Podaci nakladnika publikacija o broju prodanih/podijeljenih konkretnih brojeva (izdanja) publikacija koje sadrže objave vezane uz kružno gospodarenje prostorom i zgradama, podaci o broju posjeta objavama o kružnom gospodarenju prostorom i zgradama na </w:t>
            </w:r>
            <w:r w:rsidR="004C1644">
              <w:rPr>
                <w:rFonts w:ascii="Times New Roman" w:eastAsia="Calibri" w:hAnsi="Times New Roman"/>
                <w:sz w:val="24"/>
                <w:lang w:eastAsia="en-US"/>
              </w:rPr>
              <w:t>mrežnim</w:t>
            </w:r>
            <w:r>
              <w:rPr>
                <w:rFonts w:ascii="Times New Roman" w:eastAsia="Calibri" w:hAnsi="Times New Roman"/>
                <w:sz w:val="24"/>
                <w:lang w:eastAsia="en-US"/>
              </w:rPr>
              <w:t xml:space="preserve"> stranicama ministarstva, podaci organizatora informativnih događanja o broju sudionika.</w:t>
            </w:r>
          </w:p>
        </w:tc>
      </w:tr>
      <w:tr w:rsidR="00496804" w14:paraId="45D060F1" w14:textId="77777777">
        <w:tc>
          <w:tcPr>
            <w:tcW w:w="5000" w:type="pct"/>
            <w:gridSpan w:val="3"/>
          </w:tcPr>
          <w:p w14:paraId="45D060F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Podaci iz navedenih izvora podataka prikupljaju se na zahtjev ministarstva nadležnog za poslove prostornoga uređenja, graditeljstva i državne imovine. Podaci o broju sudionika informativnih događanja se prikupljaju po održavanju događanja. Podaci o broju distribuiranih primjeraka publikacija se prikupljaju po završetku distribucije ili svakih šest mjeseci </w:t>
            </w:r>
            <w:r>
              <w:rPr>
                <w:rFonts w:ascii="Times New Roman" w:eastAsia="Calibri" w:hAnsi="Times New Roman"/>
                <w:sz w:val="24"/>
                <w:lang w:eastAsia="en-US"/>
              </w:rPr>
              <w:lastRenderedPageBreak/>
              <w:t>od nakladnika (ovisno o tipu publikacije i tome ima li unaprijed određene korisnike ili je dostupna na zahtjev). Podaci o broju posjeta web objavama prikupljaju se svakih šest mjeseci.</w:t>
            </w:r>
          </w:p>
        </w:tc>
      </w:tr>
    </w:tbl>
    <w:p w14:paraId="45D060F2" w14:textId="77777777" w:rsidR="00496804" w:rsidRDefault="0037359D">
      <w:pPr>
        <w:spacing w:line="240" w:lineRule="auto"/>
        <w:rPr>
          <w:rFonts w:ascii="Times New Roman" w:hAnsi="Times New Roman"/>
          <w:b/>
          <w:bCs/>
          <w:sz w:val="24"/>
          <w:lang w:eastAsia="en-US"/>
        </w:rPr>
      </w:pPr>
      <w:r>
        <w:rPr>
          <w:rFonts w:ascii="Times New Roman" w:hAnsi="Times New Roman"/>
          <w:b/>
          <w:bCs/>
          <w:sz w:val="24"/>
        </w:rPr>
        <w:lastRenderedPageBreak/>
        <w:t>PRAĆENJE</w:t>
      </w:r>
      <w:r>
        <w:rPr>
          <w:rFonts w:ascii="Times New Roman" w:hAnsi="Times New Roman"/>
          <w:b/>
          <w:bCs/>
          <w:sz w:val="24"/>
          <w:lang w:eastAsia="en-US"/>
        </w:rPr>
        <w:t xml:space="preserve"> POKAZATELJA REZULTATA RAZVOJNIH MJERA</w:t>
      </w:r>
    </w:p>
    <w:p w14:paraId="45D060F3" w14:textId="77777777" w:rsidR="00496804" w:rsidRDefault="00496804">
      <w:pPr>
        <w:spacing w:line="240" w:lineRule="auto"/>
        <w:rPr>
          <w:rFonts w:ascii="Times New Roman" w:hAnsi="Times New Roman"/>
          <w:b/>
          <w:bCs/>
          <w:sz w:val="24"/>
        </w:rPr>
      </w:pPr>
    </w:p>
    <w:p w14:paraId="45D060F4"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29. Praćenje pokazatelja rezultata razvojnih mjera posebnog cilja 1</w:t>
      </w:r>
    </w:p>
    <w:tbl>
      <w:tblPr>
        <w:tblStyle w:val="Reetkatablice3"/>
        <w:tblW w:w="0" w:type="auto"/>
        <w:shd w:val="clear" w:color="auto" w:fill="BEEBDE" w:themeFill="accent4" w:themeFillTint="66"/>
        <w:tblLook w:val="04A0" w:firstRow="1" w:lastRow="0" w:firstColumn="1" w:lastColumn="0" w:noHBand="0" w:noVBand="1"/>
      </w:tblPr>
      <w:tblGrid>
        <w:gridCol w:w="2550"/>
        <w:gridCol w:w="3541"/>
        <w:gridCol w:w="3397"/>
      </w:tblGrid>
      <w:tr w:rsidR="00496804" w14:paraId="45D060F6" w14:textId="77777777">
        <w:tc>
          <w:tcPr>
            <w:tcW w:w="9488" w:type="dxa"/>
            <w:gridSpan w:val="3"/>
            <w:shd w:val="clear" w:color="auto" w:fill="FFB279" w:themeFill="accent5" w:themeFillTint="99"/>
          </w:tcPr>
          <w:p w14:paraId="45D060F5" w14:textId="77777777" w:rsidR="00496804" w:rsidRDefault="0037359D">
            <w:pPr>
              <w:spacing w:line="240" w:lineRule="auto"/>
              <w:ind w:left="22"/>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xml:space="preserve">: 1. Razvoj sustava kružnog gospodarenja prostorom i zgradama  </w:t>
            </w:r>
          </w:p>
        </w:tc>
      </w:tr>
      <w:tr w:rsidR="00496804" w14:paraId="45D060F8" w14:textId="77777777">
        <w:tblPrEx>
          <w:shd w:val="clear" w:color="auto" w:fill="auto"/>
        </w:tblPrEx>
        <w:tc>
          <w:tcPr>
            <w:tcW w:w="9488" w:type="dxa"/>
            <w:gridSpan w:val="3"/>
            <w:shd w:val="clear" w:color="auto" w:fill="FFCCA6" w:themeFill="accent5" w:themeFillTint="66"/>
          </w:tcPr>
          <w:p w14:paraId="45D060F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1.1. Evidentiranje podataka kružnog gospodarenja prostorom i zgradama u RH</w:t>
            </w:r>
          </w:p>
        </w:tc>
      </w:tr>
      <w:tr w:rsidR="00496804" w14:paraId="45D060FA" w14:textId="77777777">
        <w:tblPrEx>
          <w:shd w:val="clear" w:color="auto" w:fill="auto"/>
        </w:tblPrEx>
        <w:tc>
          <w:tcPr>
            <w:tcW w:w="9488" w:type="dxa"/>
            <w:gridSpan w:val="3"/>
            <w:shd w:val="clear" w:color="auto" w:fill="auto"/>
          </w:tcPr>
          <w:p w14:paraId="45D060F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Izrađena nacionalna baza podataka kružnog gospodarenja prostorom i zgradama u RH</w:t>
            </w:r>
          </w:p>
        </w:tc>
      </w:tr>
      <w:tr w:rsidR="00496804" w14:paraId="45D060FE" w14:textId="77777777">
        <w:tblPrEx>
          <w:shd w:val="clear" w:color="auto" w:fill="auto"/>
        </w:tblPrEx>
        <w:tc>
          <w:tcPr>
            <w:tcW w:w="2550" w:type="dxa"/>
            <w:shd w:val="clear" w:color="auto" w:fill="auto"/>
          </w:tcPr>
          <w:p w14:paraId="45D060F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0F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0F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w:t>
            </w:r>
          </w:p>
        </w:tc>
      </w:tr>
      <w:tr w:rsidR="00496804" w14:paraId="45D06100" w14:textId="77777777">
        <w:tblPrEx>
          <w:shd w:val="clear" w:color="auto" w:fill="auto"/>
        </w:tblPrEx>
        <w:tc>
          <w:tcPr>
            <w:tcW w:w="9488" w:type="dxa"/>
            <w:gridSpan w:val="3"/>
            <w:shd w:val="clear" w:color="auto" w:fill="auto"/>
          </w:tcPr>
          <w:p w14:paraId="45D060F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Izvješće o provedbi aktivnosti uspostave nacionalne baze prostornih podataka kružnog gospodarenja prostorom i zgradama</w:t>
            </w:r>
          </w:p>
        </w:tc>
      </w:tr>
      <w:tr w:rsidR="00496804" w14:paraId="45D06102" w14:textId="77777777">
        <w:tblPrEx>
          <w:shd w:val="clear" w:color="auto" w:fill="auto"/>
        </w:tblPrEx>
        <w:tc>
          <w:tcPr>
            <w:tcW w:w="9488" w:type="dxa"/>
            <w:gridSpan w:val="3"/>
            <w:shd w:val="clear" w:color="auto" w:fill="auto"/>
          </w:tcPr>
          <w:p w14:paraId="45D0610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Izvršitelj usluge izrade nacionalne baze prostornih podataka kružnog gospodarenja prostorom i zgradama po dovršetku usluge izrađuje završno izvješće koje sadrži prikaz cjelokupnih rezultata. Ministarstvo nadležno za poslove prostornoga uređenja, graditeljstva i državne imovine upravlja bazom te kontinuirano ima uvid u stanje realizacije iste.</w:t>
            </w:r>
          </w:p>
        </w:tc>
      </w:tr>
      <w:tr w:rsidR="00496804" w14:paraId="45D06104" w14:textId="77777777">
        <w:tblPrEx>
          <w:shd w:val="clear" w:color="auto" w:fill="auto"/>
        </w:tblPrEx>
        <w:tc>
          <w:tcPr>
            <w:tcW w:w="9488" w:type="dxa"/>
            <w:gridSpan w:val="3"/>
            <w:shd w:val="clear" w:color="auto" w:fill="FFCCA6" w:themeFill="accent5" w:themeFillTint="66"/>
          </w:tcPr>
          <w:p w14:paraId="45D0610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1.2. Osiguranje preduvjeta za razvoj kružnog gospodarenja prostorom i zgradama</w:t>
            </w:r>
          </w:p>
        </w:tc>
      </w:tr>
      <w:tr w:rsidR="00496804" w14:paraId="45D06106" w14:textId="77777777">
        <w:tblPrEx>
          <w:shd w:val="clear" w:color="auto" w:fill="auto"/>
        </w:tblPrEx>
        <w:tc>
          <w:tcPr>
            <w:tcW w:w="9488" w:type="dxa"/>
            <w:gridSpan w:val="3"/>
            <w:shd w:val="clear" w:color="auto" w:fill="auto"/>
          </w:tcPr>
          <w:p w14:paraId="45D0610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Izrađeni dokumenti kojima se definiraju metodologije i smjernice za razvoj kružnog gospodarenja prostorom i zgradama</w:t>
            </w:r>
          </w:p>
        </w:tc>
      </w:tr>
      <w:tr w:rsidR="00496804" w14:paraId="45D0610A" w14:textId="77777777">
        <w:tblPrEx>
          <w:shd w:val="clear" w:color="auto" w:fill="auto"/>
        </w:tblPrEx>
        <w:tc>
          <w:tcPr>
            <w:tcW w:w="2550" w:type="dxa"/>
            <w:shd w:val="clear" w:color="auto" w:fill="auto"/>
          </w:tcPr>
          <w:p w14:paraId="45D0610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0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0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4</w:t>
            </w:r>
          </w:p>
        </w:tc>
      </w:tr>
      <w:tr w:rsidR="00496804" w14:paraId="45D0610C" w14:textId="77777777">
        <w:tblPrEx>
          <w:shd w:val="clear" w:color="auto" w:fill="auto"/>
        </w:tblPrEx>
        <w:tc>
          <w:tcPr>
            <w:tcW w:w="9488" w:type="dxa"/>
            <w:gridSpan w:val="3"/>
            <w:shd w:val="clear" w:color="auto" w:fill="auto"/>
          </w:tcPr>
          <w:p w14:paraId="45D0610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Izvješća izvršitelja usluge o izrađenim dokumentima</w:t>
            </w:r>
          </w:p>
        </w:tc>
      </w:tr>
      <w:tr w:rsidR="00496804" w14:paraId="45D0610E" w14:textId="77777777">
        <w:tblPrEx>
          <w:shd w:val="clear" w:color="auto" w:fill="auto"/>
        </w:tblPrEx>
        <w:tc>
          <w:tcPr>
            <w:tcW w:w="9488" w:type="dxa"/>
            <w:gridSpan w:val="3"/>
            <w:shd w:val="clear" w:color="auto" w:fill="auto"/>
          </w:tcPr>
          <w:p w14:paraId="45D0610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Izvršitelji usluge izrade dokumenata kojima se definiraju metodologije i smjernice za razvoj kružnog gospodarenja prostorom i zgradama podnose po dovršetku usluge (izradi dokumenata) završno izvješće ministarstvu nadležnom za poslove prostornoga uređenja, graditeljstva i državne imovine.</w:t>
            </w:r>
          </w:p>
        </w:tc>
      </w:tr>
      <w:tr w:rsidR="00496804" w14:paraId="45D06110" w14:textId="77777777">
        <w:tblPrEx>
          <w:shd w:val="clear" w:color="auto" w:fill="auto"/>
        </w:tblPrEx>
        <w:tc>
          <w:tcPr>
            <w:tcW w:w="9488" w:type="dxa"/>
            <w:gridSpan w:val="3"/>
            <w:shd w:val="clear" w:color="auto" w:fill="FFCCA6" w:themeFill="accent5" w:themeFillTint="66"/>
          </w:tcPr>
          <w:p w14:paraId="45D0610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1.3. Izrada strateških dokumenata razvoja kružnog gospodarenja prostorom i zgradama</w:t>
            </w:r>
          </w:p>
        </w:tc>
      </w:tr>
      <w:tr w:rsidR="00496804" w14:paraId="45D06112" w14:textId="77777777">
        <w:tblPrEx>
          <w:shd w:val="clear" w:color="auto" w:fill="auto"/>
        </w:tblPrEx>
        <w:tc>
          <w:tcPr>
            <w:tcW w:w="9488" w:type="dxa"/>
            <w:gridSpan w:val="3"/>
            <w:shd w:val="clear" w:color="auto" w:fill="auto"/>
          </w:tcPr>
          <w:p w14:paraId="45D0611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Izrađeni strateški dokumenti razvoja kružnog gospodarenja prostorom i zgradama</w:t>
            </w:r>
          </w:p>
        </w:tc>
      </w:tr>
      <w:tr w:rsidR="00496804" w14:paraId="45D06116" w14:textId="77777777">
        <w:tblPrEx>
          <w:shd w:val="clear" w:color="auto" w:fill="auto"/>
        </w:tblPrEx>
        <w:tc>
          <w:tcPr>
            <w:tcW w:w="2550" w:type="dxa"/>
            <w:shd w:val="clear" w:color="auto" w:fill="auto"/>
          </w:tcPr>
          <w:p w14:paraId="45D0611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1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1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w:t>
            </w:r>
          </w:p>
        </w:tc>
      </w:tr>
      <w:tr w:rsidR="00496804" w14:paraId="45D06118" w14:textId="77777777">
        <w:tblPrEx>
          <w:shd w:val="clear" w:color="auto" w:fill="auto"/>
        </w:tblPrEx>
        <w:tc>
          <w:tcPr>
            <w:tcW w:w="9488" w:type="dxa"/>
            <w:gridSpan w:val="3"/>
            <w:shd w:val="clear" w:color="auto" w:fill="auto"/>
          </w:tcPr>
          <w:p w14:paraId="45D0611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11A" w14:textId="77777777">
        <w:tblPrEx>
          <w:shd w:val="clear" w:color="auto" w:fill="auto"/>
        </w:tblPrEx>
        <w:tc>
          <w:tcPr>
            <w:tcW w:w="9488" w:type="dxa"/>
            <w:gridSpan w:val="3"/>
            <w:shd w:val="clear" w:color="auto" w:fill="auto"/>
          </w:tcPr>
          <w:p w14:paraId="45D0611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Jedinice lokalne i područne (regionalne) samouprave po dovršetku izrade strateških dokumenata razvoja kružnog gospodarenja prostorom i zgradama navedene dokumente dostavljaju ministarstvu nadležnom za poslove prostornoga uređenja, graditeljstva i državne imovine, koje ih pohranjuje u jedinstvenu bazu. </w:t>
            </w:r>
          </w:p>
        </w:tc>
      </w:tr>
      <w:tr w:rsidR="00496804" w14:paraId="45D0611C" w14:textId="77777777">
        <w:tblPrEx>
          <w:shd w:val="clear" w:color="auto" w:fill="auto"/>
        </w:tblPrEx>
        <w:tc>
          <w:tcPr>
            <w:tcW w:w="9488" w:type="dxa"/>
            <w:gridSpan w:val="3"/>
            <w:shd w:val="clear" w:color="auto" w:fill="FFCCA6" w:themeFill="accent5" w:themeFillTint="66"/>
          </w:tcPr>
          <w:p w14:paraId="45D0611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1.4. Razvoj i izrada digitalne baze projekata</w:t>
            </w:r>
          </w:p>
        </w:tc>
      </w:tr>
      <w:tr w:rsidR="00496804" w14:paraId="45D0611E" w14:textId="77777777">
        <w:tblPrEx>
          <w:shd w:val="clear" w:color="auto" w:fill="auto"/>
        </w:tblPrEx>
        <w:tc>
          <w:tcPr>
            <w:tcW w:w="9488" w:type="dxa"/>
            <w:gridSpan w:val="3"/>
            <w:shd w:val="clear" w:color="auto" w:fill="auto"/>
          </w:tcPr>
          <w:p w14:paraId="45D0611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Izrađena digitalna baza projekata kružnog gospodarenja prostorom i zgradama</w:t>
            </w:r>
          </w:p>
        </w:tc>
      </w:tr>
      <w:tr w:rsidR="00496804" w14:paraId="45D06122" w14:textId="77777777">
        <w:tblPrEx>
          <w:shd w:val="clear" w:color="auto" w:fill="auto"/>
        </w:tblPrEx>
        <w:tc>
          <w:tcPr>
            <w:tcW w:w="2550" w:type="dxa"/>
            <w:shd w:val="clear" w:color="auto" w:fill="auto"/>
          </w:tcPr>
          <w:p w14:paraId="45D0611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2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2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w:t>
            </w:r>
          </w:p>
        </w:tc>
      </w:tr>
      <w:tr w:rsidR="00496804" w14:paraId="45D06124" w14:textId="77777777">
        <w:tblPrEx>
          <w:shd w:val="clear" w:color="auto" w:fill="auto"/>
        </w:tblPrEx>
        <w:tc>
          <w:tcPr>
            <w:tcW w:w="9488" w:type="dxa"/>
            <w:gridSpan w:val="3"/>
            <w:shd w:val="clear" w:color="auto" w:fill="auto"/>
          </w:tcPr>
          <w:p w14:paraId="45D0612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Izvješće o provedbi aktivnosti izrade digitalne baze projekata kružnog gospodarenja prostorom i zgradama</w:t>
            </w:r>
          </w:p>
        </w:tc>
      </w:tr>
      <w:tr w:rsidR="00496804" w14:paraId="45D06126" w14:textId="77777777">
        <w:tblPrEx>
          <w:shd w:val="clear" w:color="auto" w:fill="auto"/>
        </w:tblPrEx>
        <w:tc>
          <w:tcPr>
            <w:tcW w:w="9488" w:type="dxa"/>
            <w:gridSpan w:val="3"/>
            <w:shd w:val="clear" w:color="auto" w:fill="auto"/>
          </w:tcPr>
          <w:p w14:paraId="45D0612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Izvršitelj usluge izrade digitalne baze projekata kružnog gospodarenja prostorom i zgradama po dovršetku usluge izrađuje završno izvješće koje sadrži </w:t>
            </w:r>
            <w:r>
              <w:rPr>
                <w:rFonts w:ascii="Times New Roman" w:eastAsia="Calibri" w:hAnsi="Times New Roman"/>
                <w:sz w:val="24"/>
                <w:lang w:eastAsia="en-US"/>
              </w:rPr>
              <w:lastRenderedPageBreak/>
              <w:t>prikaz cjelokupnih rezultata. Ministarstvo nadležno za poslove prostornoga uređenja, graditeljstva i državne imovine upravlja bazom te kontinuirano ima uvid u stanje realizacije iste.</w:t>
            </w:r>
          </w:p>
        </w:tc>
      </w:tr>
      <w:tr w:rsidR="00496804" w14:paraId="45D06128" w14:textId="77777777">
        <w:tblPrEx>
          <w:shd w:val="clear" w:color="auto" w:fill="auto"/>
        </w:tblPrEx>
        <w:tc>
          <w:tcPr>
            <w:tcW w:w="9488" w:type="dxa"/>
            <w:gridSpan w:val="3"/>
            <w:shd w:val="clear" w:color="auto" w:fill="FFCCA6" w:themeFill="accent5" w:themeFillTint="66"/>
          </w:tcPr>
          <w:p w14:paraId="45D0612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Naziv razvojne mjere</w:t>
            </w:r>
            <w:r>
              <w:rPr>
                <w:rFonts w:ascii="Times New Roman" w:eastAsia="Calibri" w:hAnsi="Times New Roman"/>
                <w:sz w:val="24"/>
                <w:lang w:eastAsia="en-US"/>
              </w:rPr>
              <w:t>: 1.5. Unaprjeđenje međusektorske i međunarodne suradnje</w:t>
            </w:r>
          </w:p>
        </w:tc>
      </w:tr>
      <w:tr w:rsidR="00496804" w14:paraId="45D0612A" w14:textId="77777777">
        <w:tblPrEx>
          <w:shd w:val="clear" w:color="auto" w:fill="auto"/>
        </w:tblPrEx>
        <w:tc>
          <w:tcPr>
            <w:tcW w:w="9488" w:type="dxa"/>
            <w:gridSpan w:val="3"/>
            <w:shd w:val="clear" w:color="auto" w:fill="auto"/>
          </w:tcPr>
          <w:p w14:paraId="45D0612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xml:space="preserve">: Organizirana vlastita međunarodna događanja od strane tijela nadležnog za izradu i provedbu ovog Programa i sudjelovanja djelatnika nadležnog tijela na međunarodnim događanjima u inozemstvu, na temu kružnog gospodarenja prostorom i zgradama i povezanih tema  </w:t>
            </w:r>
          </w:p>
        </w:tc>
      </w:tr>
      <w:tr w:rsidR="00496804" w14:paraId="45D0612E" w14:textId="77777777">
        <w:tblPrEx>
          <w:shd w:val="clear" w:color="auto" w:fill="auto"/>
        </w:tblPrEx>
        <w:tc>
          <w:tcPr>
            <w:tcW w:w="2550" w:type="dxa"/>
            <w:shd w:val="clear" w:color="auto" w:fill="auto"/>
          </w:tcPr>
          <w:p w14:paraId="45D0612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2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2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w:t>
            </w:r>
          </w:p>
        </w:tc>
      </w:tr>
      <w:tr w:rsidR="00496804" w14:paraId="45D06130" w14:textId="77777777">
        <w:tblPrEx>
          <w:shd w:val="clear" w:color="auto" w:fill="auto"/>
        </w:tblPrEx>
        <w:tc>
          <w:tcPr>
            <w:tcW w:w="9488" w:type="dxa"/>
            <w:gridSpan w:val="3"/>
            <w:shd w:val="clear" w:color="auto" w:fill="auto"/>
          </w:tcPr>
          <w:p w14:paraId="45D0612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Izvješća o organiziranim i održanim međunarodnim događanjima u organizaciji ministarstva / Izvješća o sudjelovanju djelatnika ministarstva na međunarodnim događanjima, konferencijama, seminarima i studijskim putovanjima u inozemstvo (putni nalozi i sl.)</w:t>
            </w:r>
          </w:p>
        </w:tc>
      </w:tr>
      <w:tr w:rsidR="00496804" w14:paraId="45D06132" w14:textId="77777777">
        <w:tblPrEx>
          <w:shd w:val="clear" w:color="auto" w:fill="auto"/>
        </w:tblPrEx>
        <w:tc>
          <w:tcPr>
            <w:tcW w:w="9488" w:type="dxa"/>
            <w:gridSpan w:val="3"/>
            <w:shd w:val="clear" w:color="auto" w:fill="auto"/>
          </w:tcPr>
          <w:p w14:paraId="45D0613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Podaci o ostvarenju pokazatelja prikupljaju se kontinuirano, prema organizaciji vlastitih događanja te sudjelovanju djelatnika ministarstva na događanjima u inozemstvu. Osoba zadužena za praćenje pokazatelja prema potrebi, a najmanje svakih šest mjeseci, prikuplja podatke od ostalih ustrojstvenih jedinica ministarstva o održanim međunarodnim događanjima i sudjelovanju na inozemnim događanjima na temu kružnog gospodarenja prostorom i zgradama i povezanih tema.</w:t>
            </w:r>
          </w:p>
        </w:tc>
      </w:tr>
    </w:tbl>
    <w:p w14:paraId="45D06133" w14:textId="77777777" w:rsidR="00496804" w:rsidRDefault="00496804">
      <w:pPr>
        <w:spacing w:line="240" w:lineRule="auto"/>
        <w:jc w:val="left"/>
        <w:rPr>
          <w:rFonts w:ascii="Times New Roman" w:eastAsia="Calibri" w:hAnsi="Times New Roman"/>
          <w:sz w:val="24"/>
          <w:lang w:eastAsia="en-US"/>
        </w:rPr>
      </w:pPr>
    </w:p>
    <w:p w14:paraId="45D06134"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30. Praćenje pokazatelja rezultata razvojnih mjera posebnog cilja 2</w:t>
      </w:r>
    </w:p>
    <w:tbl>
      <w:tblPr>
        <w:tblStyle w:val="Reetkatablice3"/>
        <w:tblW w:w="0" w:type="auto"/>
        <w:shd w:val="clear" w:color="auto" w:fill="BEEBDE" w:themeFill="accent4" w:themeFillTint="66"/>
        <w:tblLook w:val="04A0" w:firstRow="1" w:lastRow="0" w:firstColumn="1" w:lastColumn="0" w:noHBand="0" w:noVBand="1"/>
      </w:tblPr>
      <w:tblGrid>
        <w:gridCol w:w="2550"/>
        <w:gridCol w:w="3257"/>
        <w:gridCol w:w="284"/>
        <w:gridCol w:w="3397"/>
      </w:tblGrid>
      <w:tr w:rsidR="00496804" w14:paraId="45D06136" w14:textId="77777777">
        <w:tc>
          <w:tcPr>
            <w:tcW w:w="9488" w:type="dxa"/>
            <w:gridSpan w:val="4"/>
            <w:shd w:val="clear" w:color="auto" w:fill="FFB279" w:themeFill="accent5" w:themeFillTint="99"/>
          </w:tcPr>
          <w:p w14:paraId="45D0613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2. Kružna obnova nekorištenih prostora i zgrada</w:t>
            </w:r>
          </w:p>
        </w:tc>
      </w:tr>
      <w:tr w:rsidR="00496804" w14:paraId="45D06138" w14:textId="77777777">
        <w:tblPrEx>
          <w:shd w:val="clear" w:color="auto" w:fill="auto"/>
        </w:tblPrEx>
        <w:tc>
          <w:tcPr>
            <w:tcW w:w="9488" w:type="dxa"/>
            <w:gridSpan w:val="4"/>
            <w:shd w:val="clear" w:color="auto" w:fill="FFCCA6" w:themeFill="accent5" w:themeFillTint="66"/>
          </w:tcPr>
          <w:p w14:paraId="45D0613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2.1. Provedba pilot projekata</w:t>
            </w:r>
          </w:p>
        </w:tc>
      </w:tr>
      <w:tr w:rsidR="00496804" w14:paraId="45D0613A" w14:textId="77777777">
        <w:tblPrEx>
          <w:shd w:val="clear" w:color="auto" w:fill="auto"/>
        </w:tblPrEx>
        <w:tc>
          <w:tcPr>
            <w:tcW w:w="9488" w:type="dxa"/>
            <w:gridSpan w:val="4"/>
            <w:shd w:val="clear" w:color="auto" w:fill="auto"/>
          </w:tcPr>
          <w:p w14:paraId="45D0613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Građevinska bruto površina (GBP) kružno obnovljenih zgrada u okviru pilot projekata</w:t>
            </w:r>
          </w:p>
        </w:tc>
      </w:tr>
      <w:tr w:rsidR="00496804" w14:paraId="45D0613E" w14:textId="77777777">
        <w:tblPrEx>
          <w:shd w:val="clear" w:color="auto" w:fill="auto"/>
        </w:tblPrEx>
        <w:tc>
          <w:tcPr>
            <w:tcW w:w="2550" w:type="dxa"/>
            <w:shd w:val="clear" w:color="auto" w:fill="auto"/>
          </w:tcPr>
          <w:p w14:paraId="45D0613B" w14:textId="77777777" w:rsidR="00496804" w:rsidRDefault="0037359D">
            <w:pPr>
              <w:spacing w:line="240" w:lineRule="auto"/>
              <w:rPr>
                <w:rFonts w:ascii="Times New Roman" w:eastAsia="Calibri" w:hAnsi="Times New Roman"/>
                <w:sz w:val="24"/>
                <w:lang w:eastAsia="en-US"/>
              </w:rPr>
            </w:pPr>
            <w:bookmarkStart w:id="233" w:name="_Hlk42863378"/>
            <w:r>
              <w:rPr>
                <w:rFonts w:ascii="Times New Roman" w:eastAsia="Calibri" w:hAnsi="Times New Roman"/>
                <w:b/>
                <w:bCs/>
                <w:sz w:val="24"/>
                <w:lang w:eastAsia="en-US"/>
              </w:rPr>
              <w:t>Mjerna jedinica</w:t>
            </w:r>
            <w:r>
              <w:rPr>
                <w:rFonts w:ascii="Times New Roman" w:eastAsia="Calibri" w:hAnsi="Times New Roman"/>
                <w:sz w:val="24"/>
                <w:lang w:eastAsia="en-US"/>
              </w:rPr>
              <w:t xml:space="preserve">: </w:t>
            </w:r>
            <w:r>
              <w:rPr>
                <w:rFonts w:ascii="Times New Roman" w:hAnsi="Times New Roman"/>
                <w:sz w:val="24"/>
              </w:rPr>
              <w:t>m</w:t>
            </w:r>
            <w:r>
              <w:rPr>
                <w:rFonts w:ascii="Times New Roman" w:hAnsi="Times New Roman"/>
                <w:sz w:val="24"/>
                <w:vertAlign w:val="superscript"/>
              </w:rPr>
              <w:t>2</w:t>
            </w:r>
          </w:p>
        </w:tc>
        <w:tc>
          <w:tcPr>
            <w:tcW w:w="3257" w:type="dxa"/>
            <w:shd w:val="clear" w:color="auto" w:fill="auto"/>
          </w:tcPr>
          <w:p w14:paraId="45D0613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3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20.000</w:t>
            </w:r>
          </w:p>
        </w:tc>
      </w:tr>
      <w:bookmarkEnd w:id="233"/>
      <w:tr w:rsidR="00496804" w14:paraId="45D06140" w14:textId="77777777">
        <w:tblPrEx>
          <w:shd w:val="clear" w:color="auto" w:fill="auto"/>
        </w:tblPrEx>
        <w:tc>
          <w:tcPr>
            <w:tcW w:w="9488" w:type="dxa"/>
            <w:gridSpan w:val="4"/>
            <w:shd w:val="clear" w:color="auto" w:fill="auto"/>
          </w:tcPr>
          <w:p w14:paraId="45D0613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provedbi projekata (tromjesečna tijekom provedbe i završna po završetku provedbe)</w:t>
            </w:r>
          </w:p>
        </w:tc>
      </w:tr>
      <w:tr w:rsidR="00496804" w14:paraId="45D06142" w14:textId="77777777">
        <w:tblPrEx>
          <w:shd w:val="clear" w:color="auto" w:fill="auto"/>
        </w:tblPrEx>
        <w:tc>
          <w:tcPr>
            <w:tcW w:w="9488" w:type="dxa"/>
            <w:gridSpan w:val="4"/>
            <w:shd w:val="clear" w:color="auto" w:fill="auto"/>
          </w:tcPr>
          <w:p w14:paraId="45D0614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pilot projekata kojima su odobrena sredstva za sufinanciranje provedbe pilot projekata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r w:rsidR="00496804" w14:paraId="45D06144" w14:textId="77777777">
        <w:tblPrEx>
          <w:shd w:val="clear" w:color="auto" w:fill="auto"/>
        </w:tblPrEx>
        <w:tc>
          <w:tcPr>
            <w:tcW w:w="9488" w:type="dxa"/>
            <w:gridSpan w:val="4"/>
            <w:shd w:val="clear" w:color="auto" w:fill="FFCCA6" w:themeFill="accent5" w:themeFillTint="66"/>
          </w:tcPr>
          <w:p w14:paraId="45D0614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2.1. Provedba pilot projekata</w:t>
            </w:r>
          </w:p>
        </w:tc>
      </w:tr>
      <w:tr w:rsidR="00496804" w14:paraId="45D06146" w14:textId="77777777">
        <w:tblPrEx>
          <w:shd w:val="clear" w:color="auto" w:fill="auto"/>
        </w:tblPrEx>
        <w:tc>
          <w:tcPr>
            <w:tcW w:w="9488" w:type="dxa"/>
            <w:gridSpan w:val="4"/>
            <w:shd w:val="clear" w:color="auto" w:fill="auto"/>
          </w:tcPr>
          <w:p w14:paraId="45D0614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Broj izrađenih planova kružnog gospodarenja prostorom i zgradama na lokalnoj i regionalnoj razini</w:t>
            </w:r>
          </w:p>
        </w:tc>
      </w:tr>
      <w:tr w:rsidR="00496804" w14:paraId="45D0614A" w14:textId="77777777">
        <w:tblPrEx>
          <w:shd w:val="clear" w:color="auto" w:fill="auto"/>
        </w:tblPrEx>
        <w:tc>
          <w:tcPr>
            <w:tcW w:w="2550" w:type="dxa"/>
            <w:shd w:val="clear" w:color="auto" w:fill="auto"/>
          </w:tcPr>
          <w:p w14:paraId="45D0614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gridSpan w:val="2"/>
            <w:shd w:val="clear" w:color="auto" w:fill="auto"/>
          </w:tcPr>
          <w:p w14:paraId="45D0614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4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5</w:t>
            </w:r>
          </w:p>
        </w:tc>
      </w:tr>
      <w:tr w:rsidR="00496804" w14:paraId="45D0614C" w14:textId="77777777">
        <w:tblPrEx>
          <w:shd w:val="clear" w:color="auto" w:fill="auto"/>
        </w:tblPrEx>
        <w:tc>
          <w:tcPr>
            <w:tcW w:w="9488" w:type="dxa"/>
            <w:gridSpan w:val="4"/>
            <w:shd w:val="clear" w:color="auto" w:fill="auto"/>
          </w:tcPr>
          <w:p w14:paraId="45D0614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14E" w14:textId="77777777">
        <w:tblPrEx>
          <w:shd w:val="clear" w:color="auto" w:fill="auto"/>
        </w:tblPrEx>
        <w:tc>
          <w:tcPr>
            <w:tcW w:w="9488" w:type="dxa"/>
            <w:gridSpan w:val="4"/>
            <w:shd w:val="clear" w:color="auto" w:fill="auto"/>
          </w:tcPr>
          <w:p w14:paraId="45D0614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Jedinice lokalne i područne (regionalne) samouprave po dovršetku izrade/izmjene planova kružnog gospodarenja prostorom i zgradama navedene dokumente, zajedno s izvješćima o aktivnostima provedenima u okviru izrade dokumenata, dostavljaju ministarstvu nadležnom za poslove prostornoga uređenja, graditeljstva i državne imovine.</w:t>
            </w:r>
          </w:p>
        </w:tc>
      </w:tr>
      <w:tr w:rsidR="00496804" w14:paraId="45D06150" w14:textId="77777777">
        <w:tblPrEx>
          <w:shd w:val="clear" w:color="auto" w:fill="auto"/>
        </w:tblPrEx>
        <w:tc>
          <w:tcPr>
            <w:tcW w:w="9488" w:type="dxa"/>
            <w:gridSpan w:val="4"/>
            <w:shd w:val="clear" w:color="auto" w:fill="FFCCA6" w:themeFill="accent5" w:themeFillTint="66"/>
          </w:tcPr>
          <w:p w14:paraId="45D0614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2.2. Poticanje kružne obnove prostora i zgrada</w:t>
            </w:r>
          </w:p>
        </w:tc>
      </w:tr>
      <w:tr w:rsidR="00496804" w14:paraId="45D06152" w14:textId="77777777">
        <w:tblPrEx>
          <w:shd w:val="clear" w:color="auto" w:fill="auto"/>
        </w:tblPrEx>
        <w:tc>
          <w:tcPr>
            <w:tcW w:w="9488" w:type="dxa"/>
            <w:gridSpan w:val="4"/>
            <w:shd w:val="clear" w:color="auto" w:fill="auto"/>
          </w:tcPr>
          <w:p w14:paraId="45D0615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Naziv pokazatelja</w:t>
            </w:r>
            <w:r>
              <w:rPr>
                <w:rFonts w:ascii="Times New Roman" w:eastAsia="Calibri" w:hAnsi="Times New Roman"/>
                <w:sz w:val="24"/>
                <w:lang w:eastAsia="en-US"/>
              </w:rPr>
              <w:t>: Građevinska bruto površina (GBP) kružno obnovljenih zgrada u okviru poziva za kategorije: nekorištene zgrade, nekorištene zone (monofunkcionalne ili polifunkcionalne)</w:t>
            </w:r>
          </w:p>
        </w:tc>
      </w:tr>
      <w:tr w:rsidR="00496804" w14:paraId="45D06156" w14:textId="77777777">
        <w:tblPrEx>
          <w:shd w:val="clear" w:color="auto" w:fill="auto"/>
        </w:tblPrEx>
        <w:tc>
          <w:tcPr>
            <w:tcW w:w="2550" w:type="dxa"/>
            <w:shd w:val="clear" w:color="auto" w:fill="auto"/>
          </w:tcPr>
          <w:p w14:paraId="45D0615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xml:space="preserve">: </w:t>
            </w:r>
            <w:r>
              <w:rPr>
                <w:rFonts w:ascii="Times New Roman" w:hAnsi="Times New Roman"/>
                <w:sz w:val="24"/>
              </w:rPr>
              <w:t>m</w:t>
            </w:r>
            <w:r>
              <w:rPr>
                <w:rFonts w:ascii="Times New Roman" w:hAnsi="Times New Roman"/>
                <w:sz w:val="24"/>
                <w:vertAlign w:val="superscript"/>
              </w:rPr>
              <w:t>2</w:t>
            </w:r>
          </w:p>
        </w:tc>
        <w:tc>
          <w:tcPr>
            <w:tcW w:w="3257" w:type="dxa"/>
            <w:shd w:val="clear" w:color="auto" w:fill="auto"/>
          </w:tcPr>
          <w:p w14:paraId="45D0615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5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600.000</w:t>
            </w:r>
          </w:p>
        </w:tc>
      </w:tr>
      <w:tr w:rsidR="00496804" w14:paraId="45D06158" w14:textId="77777777">
        <w:tblPrEx>
          <w:shd w:val="clear" w:color="auto" w:fill="auto"/>
        </w:tblPrEx>
        <w:tc>
          <w:tcPr>
            <w:tcW w:w="9488" w:type="dxa"/>
            <w:gridSpan w:val="4"/>
            <w:shd w:val="clear" w:color="auto" w:fill="auto"/>
          </w:tcPr>
          <w:p w14:paraId="45D0615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provedbi projekata (tromjesečna tijekom provedbe i završna po završetku provedbe)</w:t>
            </w:r>
          </w:p>
        </w:tc>
      </w:tr>
      <w:tr w:rsidR="00496804" w14:paraId="45D0615A" w14:textId="77777777">
        <w:tblPrEx>
          <w:shd w:val="clear" w:color="auto" w:fill="auto"/>
        </w:tblPrEx>
        <w:tc>
          <w:tcPr>
            <w:tcW w:w="9488" w:type="dxa"/>
            <w:gridSpan w:val="4"/>
            <w:shd w:val="clear" w:color="auto" w:fill="auto"/>
          </w:tcPr>
          <w:p w14:paraId="45D0615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projekata kružne obnove nekorištenih zgrada i zona (monofunkcionalnih ili polifunkcionalnih) kojima su odobrena sredstva za sufinanciranje provedbe u okviru javnih poziva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r w:rsidR="00496804" w14:paraId="45D0615C" w14:textId="77777777">
        <w:tblPrEx>
          <w:shd w:val="clear" w:color="auto" w:fill="auto"/>
        </w:tblPrEx>
        <w:tc>
          <w:tcPr>
            <w:tcW w:w="9488" w:type="dxa"/>
            <w:gridSpan w:val="4"/>
            <w:shd w:val="clear" w:color="auto" w:fill="FFCCA6" w:themeFill="accent5" w:themeFillTint="66"/>
          </w:tcPr>
          <w:p w14:paraId="45D0615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2.3. Poticanje inovacija i razvoja u primjeni kružnog gospodarenja prostorom i zgradama</w:t>
            </w:r>
          </w:p>
        </w:tc>
      </w:tr>
      <w:tr w:rsidR="00496804" w14:paraId="45D0615E" w14:textId="77777777">
        <w:tblPrEx>
          <w:shd w:val="clear" w:color="auto" w:fill="auto"/>
        </w:tblPrEx>
        <w:tc>
          <w:tcPr>
            <w:tcW w:w="9488" w:type="dxa"/>
            <w:gridSpan w:val="4"/>
            <w:shd w:val="clear" w:color="auto" w:fill="auto"/>
          </w:tcPr>
          <w:p w14:paraId="45D0615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Broj poticanih projekata inovacija ili certifikata</w:t>
            </w:r>
          </w:p>
        </w:tc>
      </w:tr>
      <w:tr w:rsidR="00496804" w14:paraId="45D06162" w14:textId="77777777">
        <w:tblPrEx>
          <w:shd w:val="clear" w:color="auto" w:fill="auto"/>
        </w:tblPrEx>
        <w:tc>
          <w:tcPr>
            <w:tcW w:w="2550" w:type="dxa"/>
            <w:shd w:val="clear" w:color="auto" w:fill="auto"/>
          </w:tcPr>
          <w:p w14:paraId="45D0615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6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6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w:t>
            </w:r>
          </w:p>
        </w:tc>
      </w:tr>
      <w:tr w:rsidR="00496804" w14:paraId="45D06164" w14:textId="77777777">
        <w:tblPrEx>
          <w:shd w:val="clear" w:color="auto" w:fill="auto"/>
        </w:tblPrEx>
        <w:tc>
          <w:tcPr>
            <w:tcW w:w="9488" w:type="dxa"/>
            <w:gridSpan w:val="4"/>
            <w:shd w:val="clear" w:color="auto" w:fill="auto"/>
          </w:tcPr>
          <w:p w14:paraId="45D0616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Izvješće o provedbi aktivnosti (tromjesečna tijekom provedbe i završna po završetku provedbe)</w:t>
            </w:r>
          </w:p>
        </w:tc>
      </w:tr>
      <w:tr w:rsidR="00496804" w14:paraId="45D06166" w14:textId="77777777">
        <w:tblPrEx>
          <w:shd w:val="clear" w:color="auto" w:fill="auto"/>
        </w:tblPrEx>
        <w:tc>
          <w:tcPr>
            <w:tcW w:w="9488" w:type="dxa"/>
            <w:gridSpan w:val="4"/>
            <w:shd w:val="clear" w:color="auto" w:fill="auto"/>
          </w:tcPr>
          <w:p w14:paraId="45D0616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projekata kojima su odobrena sredstva za sufinanciranje provedbe u okviru javnih poziva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bl>
    <w:p w14:paraId="45D06167" w14:textId="77777777" w:rsidR="00496804" w:rsidRDefault="00496804">
      <w:pPr>
        <w:spacing w:line="240" w:lineRule="auto"/>
        <w:jc w:val="left"/>
        <w:rPr>
          <w:rFonts w:ascii="Times New Roman" w:eastAsia="Calibri" w:hAnsi="Times New Roman"/>
          <w:sz w:val="24"/>
          <w:lang w:eastAsia="en-US"/>
        </w:rPr>
      </w:pPr>
    </w:p>
    <w:p w14:paraId="45D06168"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31. Praćenje pokazatelja rezultata razvojnih mjera posebnog cilja 3</w:t>
      </w:r>
    </w:p>
    <w:tbl>
      <w:tblPr>
        <w:tblStyle w:val="Reetkatablice3"/>
        <w:tblW w:w="0" w:type="auto"/>
        <w:shd w:val="clear" w:color="auto" w:fill="BEEBDE" w:themeFill="accent4" w:themeFillTint="66"/>
        <w:tblLook w:val="04A0" w:firstRow="1" w:lastRow="0" w:firstColumn="1" w:lastColumn="0" w:noHBand="0" w:noVBand="1"/>
      </w:tblPr>
      <w:tblGrid>
        <w:gridCol w:w="2550"/>
        <w:gridCol w:w="3257"/>
        <w:gridCol w:w="3681"/>
      </w:tblGrid>
      <w:tr w:rsidR="00496804" w14:paraId="45D0616A" w14:textId="77777777">
        <w:tc>
          <w:tcPr>
            <w:tcW w:w="9488" w:type="dxa"/>
            <w:gridSpan w:val="3"/>
            <w:shd w:val="clear" w:color="auto" w:fill="FFB279" w:themeFill="accent5" w:themeFillTint="99"/>
          </w:tcPr>
          <w:p w14:paraId="45D0616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3. Visoka razina znanja i društvene svijesti o kružnom gospodarenju prostorom i zgradama</w:t>
            </w:r>
          </w:p>
        </w:tc>
      </w:tr>
      <w:tr w:rsidR="00496804" w14:paraId="45D0616C" w14:textId="77777777">
        <w:tblPrEx>
          <w:shd w:val="clear" w:color="auto" w:fill="auto"/>
        </w:tblPrEx>
        <w:tc>
          <w:tcPr>
            <w:tcW w:w="9488" w:type="dxa"/>
            <w:gridSpan w:val="3"/>
            <w:shd w:val="clear" w:color="auto" w:fill="FFCCA6" w:themeFill="accent5" w:themeFillTint="66"/>
          </w:tcPr>
          <w:p w14:paraId="45D0616B" w14:textId="77777777" w:rsidR="00496804" w:rsidRDefault="0037359D">
            <w:pPr>
              <w:tabs>
                <w:tab w:val="left" w:pos="2940"/>
              </w:tabs>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3.1. Afirmacija i informiranje javnosti o kružnom gospodarenju prostorom i zgradama</w:t>
            </w:r>
          </w:p>
        </w:tc>
      </w:tr>
      <w:tr w:rsidR="00496804" w14:paraId="45D0616E" w14:textId="77777777">
        <w:tblPrEx>
          <w:shd w:val="clear" w:color="auto" w:fill="auto"/>
        </w:tblPrEx>
        <w:tc>
          <w:tcPr>
            <w:tcW w:w="9488" w:type="dxa"/>
            <w:gridSpan w:val="3"/>
            <w:shd w:val="clear" w:color="auto" w:fill="auto"/>
          </w:tcPr>
          <w:p w14:paraId="45D0616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Ukupno objave i priopćenja vezana uz temu kružnog gospodarenja prostorom i zgradama (web stranica i sredstva javnog priopćavanja)</w:t>
            </w:r>
          </w:p>
        </w:tc>
      </w:tr>
      <w:tr w:rsidR="00496804" w14:paraId="45D06172" w14:textId="77777777">
        <w:tblPrEx>
          <w:shd w:val="clear" w:color="auto" w:fill="auto"/>
        </w:tblPrEx>
        <w:tc>
          <w:tcPr>
            <w:tcW w:w="2550" w:type="dxa"/>
            <w:shd w:val="clear" w:color="auto" w:fill="auto"/>
          </w:tcPr>
          <w:p w14:paraId="45D0616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7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7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200</w:t>
            </w:r>
          </w:p>
        </w:tc>
      </w:tr>
      <w:tr w:rsidR="00496804" w14:paraId="45D06174" w14:textId="77777777">
        <w:tblPrEx>
          <w:shd w:val="clear" w:color="auto" w:fill="auto"/>
        </w:tblPrEx>
        <w:tc>
          <w:tcPr>
            <w:tcW w:w="9488" w:type="dxa"/>
            <w:gridSpan w:val="3"/>
            <w:shd w:val="clear" w:color="auto" w:fill="auto"/>
          </w:tcPr>
          <w:p w14:paraId="45D0617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o broju objava i priopćenja</w:t>
            </w:r>
          </w:p>
        </w:tc>
      </w:tr>
      <w:tr w:rsidR="00496804" w14:paraId="45D06176" w14:textId="77777777">
        <w:tblPrEx>
          <w:shd w:val="clear" w:color="auto" w:fill="auto"/>
        </w:tblPrEx>
        <w:tc>
          <w:tcPr>
            <w:tcW w:w="9488" w:type="dxa"/>
            <w:gridSpan w:val="3"/>
            <w:shd w:val="clear" w:color="auto" w:fill="auto"/>
          </w:tcPr>
          <w:p w14:paraId="45D0617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Osoba unutar ministarstva zadužena za prikupljanje podataka periodično, a najmanje svakih šest mjeseci, prikuplja podatke o broju objava i priopćenja vezanih uz temu zelene infrastrukture od ustrojstvenih jedinica ministarstva zaduženih za komunikaciju i vidljivost.</w:t>
            </w:r>
          </w:p>
        </w:tc>
      </w:tr>
      <w:tr w:rsidR="00496804" w14:paraId="45D06178" w14:textId="77777777">
        <w:tblPrEx>
          <w:shd w:val="clear" w:color="auto" w:fill="auto"/>
        </w:tblPrEx>
        <w:tc>
          <w:tcPr>
            <w:tcW w:w="9488" w:type="dxa"/>
            <w:gridSpan w:val="3"/>
            <w:shd w:val="clear" w:color="auto" w:fill="FFCCA6" w:themeFill="accent5" w:themeFillTint="66"/>
          </w:tcPr>
          <w:p w14:paraId="45D0617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3.1. Afirmacija i informiranje javnosti o kružnom gospodarenju prostorom i zgradama</w:t>
            </w:r>
          </w:p>
        </w:tc>
      </w:tr>
      <w:tr w:rsidR="00496804" w14:paraId="45D0617A" w14:textId="77777777">
        <w:tblPrEx>
          <w:shd w:val="clear" w:color="auto" w:fill="auto"/>
        </w:tblPrEx>
        <w:tc>
          <w:tcPr>
            <w:tcW w:w="9488" w:type="dxa"/>
            <w:gridSpan w:val="3"/>
            <w:shd w:val="clear" w:color="auto" w:fill="auto"/>
          </w:tcPr>
          <w:p w14:paraId="45D0617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Sudionici informativnih radionica, konferencija i tematskih skupova na temu kružnog gospodarenja prostorom i zgradama</w:t>
            </w:r>
          </w:p>
        </w:tc>
      </w:tr>
      <w:tr w:rsidR="00496804" w14:paraId="45D0617E" w14:textId="77777777">
        <w:tblPrEx>
          <w:shd w:val="clear" w:color="auto" w:fill="auto"/>
        </w:tblPrEx>
        <w:tc>
          <w:tcPr>
            <w:tcW w:w="2550" w:type="dxa"/>
            <w:shd w:val="clear" w:color="auto" w:fill="auto"/>
          </w:tcPr>
          <w:p w14:paraId="45D0617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7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7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4.000</w:t>
            </w:r>
          </w:p>
        </w:tc>
      </w:tr>
      <w:tr w:rsidR="00496804" w14:paraId="45D06180" w14:textId="77777777">
        <w:tblPrEx>
          <w:shd w:val="clear" w:color="auto" w:fill="auto"/>
        </w:tblPrEx>
        <w:tc>
          <w:tcPr>
            <w:tcW w:w="9488" w:type="dxa"/>
            <w:gridSpan w:val="3"/>
            <w:shd w:val="clear" w:color="auto" w:fill="auto"/>
          </w:tcPr>
          <w:p w14:paraId="45D0617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xml:space="preserve">: Izvješća o provedenim informativnim radionicama i tematskim skupovima </w:t>
            </w:r>
          </w:p>
        </w:tc>
      </w:tr>
      <w:tr w:rsidR="00496804" w14:paraId="45D06182" w14:textId="77777777">
        <w:tblPrEx>
          <w:shd w:val="clear" w:color="auto" w:fill="auto"/>
        </w:tblPrEx>
        <w:tc>
          <w:tcPr>
            <w:tcW w:w="9488" w:type="dxa"/>
            <w:gridSpan w:val="3"/>
            <w:shd w:val="clear" w:color="auto" w:fill="auto"/>
          </w:tcPr>
          <w:p w14:paraId="45D0618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Metoda praćenja pokazatelja</w:t>
            </w:r>
            <w:r>
              <w:rPr>
                <w:rFonts w:ascii="Times New Roman" w:eastAsia="Calibri" w:hAnsi="Times New Roman"/>
                <w:sz w:val="24"/>
                <w:lang w:eastAsia="en-US"/>
              </w:rPr>
              <w:t>: Osoba unutar ministarstva zadužena za prikupljanje podataka periodično, a najmanje svakih šest mjeseci, prikuplja podatke</w:t>
            </w:r>
          </w:p>
        </w:tc>
      </w:tr>
      <w:tr w:rsidR="00496804" w14:paraId="45D06184" w14:textId="77777777">
        <w:tblPrEx>
          <w:shd w:val="clear" w:color="auto" w:fill="auto"/>
        </w:tblPrEx>
        <w:tc>
          <w:tcPr>
            <w:tcW w:w="9488" w:type="dxa"/>
            <w:gridSpan w:val="3"/>
            <w:shd w:val="clear" w:color="auto" w:fill="FFCCA6" w:themeFill="accent5" w:themeFillTint="66"/>
          </w:tcPr>
          <w:p w14:paraId="45D0618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3.2. Edukacija o kružnom gospodarenju prostorom i zgradama</w:t>
            </w:r>
          </w:p>
        </w:tc>
      </w:tr>
      <w:tr w:rsidR="00496804" w14:paraId="45D06186" w14:textId="77777777">
        <w:tblPrEx>
          <w:shd w:val="clear" w:color="auto" w:fill="auto"/>
        </w:tblPrEx>
        <w:tc>
          <w:tcPr>
            <w:tcW w:w="9488" w:type="dxa"/>
            <w:gridSpan w:val="3"/>
            <w:shd w:val="clear" w:color="auto" w:fill="auto"/>
          </w:tcPr>
          <w:p w14:paraId="45D0618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Stručnjaci i predstavnici lokalne/regionalne samouprave koji su sudjelovali na edukativnim događanjima</w:t>
            </w:r>
          </w:p>
        </w:tc>
      </w:tr>
      <w:tr w:rsidR="00496804" w14:paraId="45D0618A" w14:textId="77777777">
        <w:tblPrEx>
          <w:shd w:val="clear" w:color="auto" w:fill="auto"/>
        </w:tblPrEx>
        <w:tc>
          <w:tcPr>
            <w:tcW w:w="2550" w:type="dxa"/>
            <w:shd w:val="clear" w:color="auto" w:fill="auto"/>
          </w:tcPr>
          <w:p w14:paraId="45D0618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8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8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1.000</w:t>
            </w:r>
          </w:p>
        </w:tc>
      </w:tr>
      <w:tr w:rsidR="00496804" w14:paraId="45D0618C" w14:textId="77777777">
        <w:tblPrEx>
          <w:shd w:val="clear" w:color="auto" w:fill="auto"/>
        </w:tblPrEx>
        <w:tc>
          <w:tcPr>
            <w:tcW w:w="9488" w:type="dxa"/>
            <w:gridSpan w:val="3"/>
            <w:shd w:val="clear" w:color="auto" w:fill="auto"/>
          </w:tcPr>
          <w:p w14:paraId="45D0618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provedenim edukativnim događanjima</w:t>
            </w:r>
          </w:p>
        </w:tc>
      </w:tr>
      <w:tr w:rsidR="00496804" w14:paraId="45D0618E" w14:textId="77777777">
        <w:tblPrEx>
          <w:shd w:val="clear" w:color="auto" w:fill="auto"/>
        </w:tblPrEx>
        <w:tc>
          <w:tcPr>
            <w:tcW w:w="9488" w:type="dxa"/>
            <w:gridSpan w:val="3"/>
            <w:shd w:val="clear" w:color="auto" w:fill="auto"/>
          </w:tcPr>
          <w:p w14:paraId="45D0618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Osoba unutar ministarstva zadužena za prikupljanje podataka periodično, a najmanje svakih šest mjeseci, prikuplja podatke</w:t>
            </w:r>
          </w:p>
        </w:tc>
      </w:tr>
    </w:tbl>
    <w:p w14:paraId="45D0618F" w14:textId="77777777" w:rsidR="00496804" w:rsidRDefault="00496804">
      <w:pPr>
        <w:pStyle w:val="tekst"/>
        <w:spacing w:line="240" w:lineRule="auto"/>
        <w:rPr>
          <w:rFonts w:ascii="Times New Roman" w:hAnsi="Times New Roman" w:cs="Times New Roman"/>
          <w:sz w:val="24"/>
          <w:szCs w:val="24"/>
        </w:rPr>
      </w:pPr>
    </w:p>
    <w:p w14:paraId="45D06190" w14:textId="77777777" w:rsidR="00496804" w:rsidRDefault="00496804">
      <w:pPr>
        <w:pStyle w:val="tekst"/>
        <w:spacing w:line="240" w:lineRule="auto"/>
        <w:rPr>
          <w:rFonts w:ascii="Times New Roman" w:hAnsi="Times New Roman" w:cs="Times New Roman"/>
          <w:sz w:val="24"/>
          <w:szCs w:val="24"/>
        </w:rPr>
      </w:pPr>
    </w:p>
    <w:p w14:paraId="45D06191" w14:textId="77777777" w:rsidR="00496804" w:rsidRDefault="0037359D">
      <w:pPr>
        <w:pStyle w:val="Naslov2"/>
        <w:ind w:left="426" w:hanging="426"/>
        <w:rPr>
          <w:rFonts w:ascii="Times New Roman" w:hAnsi="Times New Roman" w:cs="Times New Roman"/>
          <w:color w:val="auto"/>
          <w:sz w:val="24"/>
          <w:szCs w:val="24"/>
        </w:rPr>
      </w:pPr>
      <w:bookmarkStart w:id="234" w:name="_Toc51851664"/>
      <w:r>
        <w:rPr>
          <w:rFonts w:ascii="Times New Roman" w:hAnsi="Times New Roman" w:cs="Times New Roman"/>
          <w:color w:val="auto"/>
          <w:sz w:val="24"/>
          <w:szCs w:val="24"/>
        </w:rPr>
        <w:t>IZVJEŠTAVANJE O PROVEDBI</w:t>
      </w:r>
      <w:bookmarkEnd w:id="234"/>
    </w:p>
    <w:p w14:paraId="45D06192" w14:textId="77777777" w:rsidR="00496804" w:rsidRDefault="00496804">
      <w:pPr>
        <w:pStyle w:val="tekst"/>
        <w:spacing w:line="240" w:lineRule="auto"/>
        <w:rPr>
          <w:rFonts w:ascii="Times New Roman" w:hAnsi="Times New Roman" w:cs="Times New Roman"/>
          <w:sz w:val="24"/>
          <w:szCs w:val="24"/>
        </w:rPr>
      </w:pPr>
    </w:p>
    <w:p w14:paraId="45D0619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Praćenje provedbe pokazatelja vezanih uz kružno gospodarenje prostorom i zgradama bi, s obzirom na višestruki utjecaj, trebalo biti interdisciplinarno, odnosno zadatak različitih relevantnih struka tj. institucija. O rezultatima praćenja je potom potrebno obavijestiti nadležno tijelo za provedbu Programa razvoja KG, odnosno ministarstvo nadležno za poslove prostornoga uređenja, graditeljstva i državne imovine koje ima zadaću izvještavanja o ostvarenju pokazatelja i provedbi istoga. </w:t>
      </w:r>
    </w:p>
    <w:p w14:paraId="45D06194" w14:textId="210BA07C"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Na temelju dobivenih podataka od relevantnih institucija, nadležno ministarstvo obvezno je jednom godišnje izraditi detaljno izvješće o stanju provedbe ovog</w:t>
      </w:r>
      <w:r w:rsidR="004C1644">
        <w:rPr>
          <w:rFonts w:ascii="Times New Roman" w:hAnsi="Times New Roman" w:cs="Times New Roman"/>
          <w:sz w:val="24"/>
          <w:szCs w:val="24"/>
        </w:rPr>
        <w:t>a</w:t>
      </w:r>
      <w:r>
        <w:rPr>
          <w:rFonts w:ascii="Times New Roman" w:hAnsi="Times New Roman" w:cs="Times New Roman"/>
          <w:sz w:val="24"/>
          <w:szCs w:val="24"/>
        </w:rPr>
        <w:t xml:space="preserve"> Programa koje treba sadržavati sljedeće:</w:t>
      </w:r>
    </w:p>
    <w:p w14:paraId="45D06195"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 xml:space="preserve">tablične podatke o evidentiranom stanju kružnog gospodarenja prostorom i zgradama </w:t>
      </w:r>
    </w:p>
    <w:p w14:paraId="45D06196"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tablične podatke o realiziranim pokazateljima</w:t>
      </w:r>
    </w:p>
    <w:p w14:paraId="45D06197"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tekstualni pregled uspješnosti provedbe Programa razvoja KG na temelju ostvarenih vrijednosti pokazatelja i ciljeva definiranih u strateškom okviru Programa razvoja KG</w:t>
      </w:r>
    </w:p>
    <w:p w14:paraId="45D06198"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pregled uočenih izazova u provođenju Programa</w:t>
      </w:r>
    </w:p>
    <w:p w14:paraId="45D06199"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 xml:space="preserve">prijedloge za otklanjanje uočenih izazova kako bi se osigurala učinkovitija provedba Programa razvoja KG. </w:t>
      </w:r>
    </w:p>
    <w:p w14:paraId="45D0619A" w14:textId="77777777" w:rsidR="00496804" w:rsidRDefault="00496804">
      <w:pPr>
        <w:pStyle w:val="tekst"/>
        <w:spacing w:line="240" w:lineRule="auto"/>
        <w:rPr>
          <w:rFonts w:ascii="Times New Roman" w:hAnsi="Times New Roman" w:cs="Times New Roman"/>
          <w:sz w:val="24"/>
          <w:szCs w:val="24"/>
        </w:rPr>
      </w:pPr>
    </w:p>
    <w:p w14:paraId="45D0619B" w14:textId="515C6769"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Također je tijekom provođenja pilot projekata potrebno dostavljati detaljna izvješća o provedbi i rezultatima provedbe istih s obzirom da navedeno služi kao temelj za definiranje i izradu poziva za predlagatelje. Na temelju ovih izvješća također se utvrđuju izazovi prilikom provođenja ovog</w:t>
      </w:r>
      <w:r w:rsidR="00380EC4">
        <w:rPr>
          <w:rFonts w:ascii="Times New Roman" w:hAnsi="Times New Roman" w:cs="Times New Roman"/>
          <w:sz w:val="24"/>
          <w:szCs w:val="24"/>
        </w:rPr>
        <w:t>a</w:t>
      </w:r>
      <w:r>
        <w:rPr>
          <w:rFonts w:ascii="Times New Roman" w:hAnsi="Times New Roman" w:cs="Times New Roman"/>
          <w:sz w:val="24"/>
          <w:szCs w:val="24"/>
        </w:rPr>
        <w:t xml:space="preserve"> Programa koje se nastoje ublažiti ili otkloniti tijekom daljnje provedbe. </w:t>
      </w:r>
    </w:p>
    <w:p w14:paraId="45D0619C" w14:textId="77777777" w:rsidR="00496804" w:rsidRDefault="00496804">
      <w:pPr>
        <w:pStyle w:val="tekst"/>
        <w:spacing w:line="240" w:lineRule="auto"/>
        <w:rPr>
          <w:rFonts w:ascii="Times New Roman" w:hAnsi="Times New Roman" w:cs="Times New Roman"/>
          <w:sz w:val="24"/>
          <w:szCs w:val="24"/>
        </w:rPr>
      </w:pPr>
    </w:p>
    <w:p w14:paraId="45D0619D" w14:textId="15C52ED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Programom razvoja KG predviđena je nadogradnja</w:t>
      </w:r>
      <w:r>
        <w:t xml:space="preserve"> </w:t>
      </w:r>
      <w:r>
        <w:rPr>
          <w:rFonts w:ascii="Times New Roman" w:hAnsi="Times New Roman" w:cs="Times New Roman"/>
          <w:sz w:val="24"/>
          <w:szCs w:val="24"/>
        </w:rPr>
        <w:t>ISPU, čime će se omogućiti olakšano praćenje provedbe nekih aspekata ne samo ovog</w:t>
      </w:r>
      <w:r w:rsidR="00A66F57">
        <w:rPr>
          <w:rFonts w:ascii="Times New Roman" w:hAnsi="Times New Roman" w:cs="Times New Roman"/>
          <w:sz w:val="24"/>
          <w:szCs w:val="24"/>
        </w:rPr>
        <w:t>a</w:t>
      </w:r>
      <w:r>
        <w:rPr>
          <w:rFonts w:ascii="Times New Roman" w:hAnsi="Times New Roman" w:cs="Times New Roman"/>
          <w:sz w:val="24"/>
          <w:szCs w:val="24"/>
        </w:rPr>
        <w:t xml:space="preserve"> Programa, već općenito projekata kružnog gospodarenja prostorom i zgradama u RH.</w:t>
      </w:r>
    </w:p>
    <w:p w14:paraId="45D0619E" w14:textId="77777777" w:rsidR="00496804" w:rsidRDefault="00496804">
      <w:pPr>
        <w:pStyle w:val="tekst"/>
        <w:spacing w:line="240" w:lineRule="auto"/>
        <w:rPr>
          <w:rFonts w:ascii="Times New Roman" w:hAnsi="Times New Roman" w:cs="Times New Roman"/>
          <w:sz w:val="24"/>
          <w:szCs w:val="24"/>
        </w:rPr>
      </w:pPr>
    </w:p>
    <w:p w14:paraId="45D0619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Pravilnikom o rokovima i postupcima praćenja i izvještavanja o provedbi akata strateškog planiranja od nacionalnog značaja i od značaja za jedinice lokalne i područne (regionalne) samouprave   propisuju se rokovi i postupci praćenja i izvještavanja o provedbi akata strateškog planiranja od nacionalnog značaja i od značaja za jedinice lokalne i područne (regionalne) samouprave.</w:t>
      </w:r>
    </w:p>
    <w:p w14:paraId="45D061A0" w14:textId="77777777" w:rsidR="00496804" w:rsidRDefault="00496804">
      <w:pPr>
        <w:pStyle w:val="tekst"/>
        <w:spacing w:line="240" w:lineRule="auto"/>
        <w:rPr>
          <w:rFonts w:ascii="Times New Roman" w:hAnsi="Times New Roman" w:cs="Times New Roman"/>
          <w:sz w:val="24"/>
          <w:szCs w:val="24"/>
        </w:rPr>
      </w:pPr>
    </w:p>
    <w:p w14:paraId="45D061A1" w14:textId="77777777" w:rsidR="00496804" w:rsidRDefault="00496804">
      <w:pPr>
        <w:pStyle w:val="tekst"/>
        <w:spacing w:line="240" w:lineRule="auto"/>
        <w:rPr>
          <w:rFonts w:ascii="Times New Roman" w:hAnsi="Times New Roman" w:cs="Times New Roman"/>
          <w:sz w:val="24"/>
          <w:szCs w:val="24"/>
        </w:rPr>
      </w:pPr>
    </w:p>
    <w:p w14:paraId="45D061A2" w14:textId="77777777" w:rsidR="00496804" w:rsidRDefault="0037359D">
      <w:pPr>
        <w:pStyle w:val="Naslov2"/>
        <w:ind w:left="426" w:hanging="426"/>
        <w:rPr>
          <w:rFonts w:ascii="Times New Roman" w:hAnsi="Times New Roman" w:cs="Times New Roman"/>
          <w:color w:val="auto"/>
          <w:sz w:val="24"/>
          <w:szCs w:val="24"/>
        </w:rPr>
      </w:pPr>
      <w:bookmarkStart w:id="235" w:name="_Toc51851665"/>
      <w:r>
        <w:rPr>
          <w:rFonts w:ascii="Times New Roman" w:hAnsi="Times New Roman" w:cs="Times New Roman"/>
          <w:color w:val="auto"/>
          <w:sz w:val="24"/>
          <w:szCs w:val="24"/>
        </w:rPr>
        <w:t>VREDNOVANJE PROVEDBE</w:t>
      </w:r>
      <w:bookmarkEnd w:id="235"/>
    </w:p>
    <w:p w14:paraId="45D061A3" w14:textId="77777777" w:rsidR="00496804" w:rsidRDefault="00496804">
      <w:pPr>
        <w:rPr>
          <w:lang w:eastAsia="hr-HR"/>
        </w:rPr>
      </w:pPr>
    </w:p>
    <w:p w14:paraId="45D061A4" w14:textId="499D58E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Vrednovanje provedbe Programa razvoja KG provodi se u skladu sa Zakonom o sustavu strateškog planiranja i upravljanja razvojem R</w:t>
      </w:r>
      <w:r w:rsidR="004B108F">
        <w:rPr>
          <w:rFonts w:ascii="Times New Roman" w:hAnsi="Times New Roman" w:cs="Times New Roman"/>
          <w:sz w:val="24"/>
          <w:szCs w:val="24"/>
        </w:rPr>
        <w:t xml:space="preserve">epublike </w:t>
      </w:r>
      <w:r>
        <w:rPr>
          <w:rFonts w:ascii="Times New Roman" w:hAnsi="Times New Roman" w:cs="Times New Roman"/>
          <w:sz w:val="24"/>
          <w:szCs w:val="24"/>
        </w:rPr>
        <w:t>H</w:t>
      </w:r>
      <w:r w:rsidR="004B108F">
        <w:rPr>
          <w:rFonts w:ascii="Times New Roman" w:hAnsi="Times New Roman" w:cs="Times New Roman"/>
          <w:sz w:val="24"/>
          <w:szCs w:val="24"/>
        </w:rPr>
        <w:t>rvatske te</w:t>
      </w:r>
      <w:r>
        <w:rPr>
          <w:rFonts w:ascii="Times New Roman" w:hAnsi="Times New Roman" w:cs="Times New Roman"/>
          <w:sz w:val="24"/>
          <w:szCs w:val="24"/>
        </w:rPr>
        <w:t xml:space="preserve"> </w:t>
      </w:r>
      <w:r w:rsidR="004B108F">
        <w:rPr>
          <w:rFonts w:ascii="Times New Roman" w:hAnsi="Times New Roman" w:cs="Times New Roman"/>
          <w:sz w:val="24"/>
          <w:szCs w:val="24"/>
        </w:rPr>
        <w:t>p</w:t>
      </w:r>
      <w:r>
        <w:rPr>
          <w:rFonts w:ascii="Times New Roman" w:hAnsi="Times New Roman" w:cs="Times New Roman"/>
          <w:sz w:val="24"/>
          <w:szCs w:val="24"/>
        </w:rPr>
        <w:t xml:space="preserve">redstavlja evaluaciju procesa izrade akta strateškog planiranja (prethodno vrednovanje), provedbe (srednjoročno vrednovanje) i postignutih razvojnih učinaka i rezultat po isteku provedbenog razdoblja (naknadno vrednovanje): </w:t>
      </w:r>
    </w:p>
    <w:p w14:paraId="45D061A5" w14:textId="3468668B" w:rsidR="00496804" w:rsidRDefault="0037359D">
      <w:pPr>
        <w:pStyle w:val="tekst"/>
        <w:numPr>
          <w:ilvl w:val="0"/>
          <w:numId w:val="34"/>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lastRenderedPageBreak/>
        <w:t>Vrednovanje tijekom provedbe pomaže donositeljima odluka da tijekom provedbe utvrde nedostatke u provedbi akata strateškog planiranja i slijedom toga poduzmu potrebne korake ukoliko su potrebne njegove izmjene. Tijelo nadležno za izradu i provedbu ovog</w:t>
      </w:r>
      <w:r w:rsidR="004B108F">
        <w:rPr>
          <w:rFonts w:ascii="Times New Roman" w:hAnsi="Times New Roman" w:cs="Times New Roman"/>
          <w:sz w:val="24"/>
          <w:szCs w:val="24"/>
        </w:rPr>
        <w:t>a</w:t>
      </w:r>
      <w:r>
        <w:rPr>
          <w:rFonts w:ascii="Times New Roman" w:hAnsi="Times New Roman" w:cs="Times New Roman"/>
          <w:sz w:val="24"/>
          <w:szCs w:val="24"/>
        </w:rPr>
        <w:t xml:space="preserve"> Programa samostalno odlučuje što će se vrednovati i kada. Vrednovanje na taj način postaje upravljački alat kojim se pomaže učinkovitija provedba akata strateškog planiranja.</w:t>
      </w:r>
    </w:p>
    <w:p w14:paraId="45D061A6" w14:textId="77777777" w:rsidR="00496804" w:rsidRDefault="0037359D">
      <w:pPr>
        <w:pStyle w:val="tekst"/>
        <w:numPr>
          <w:ilvl w:val="0"/>
          <w:numId w:val="34"/>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Vrednovanje nakon provedbe sažeto ponavlja i ocjenjuje cjelokupni utjecaj/učinak akata strateškog planiranja, odnosno njihovu djelotvornost i učinkovitost.</w:t>
      </w:r>
    </w:p>
    <w:p w14:paraId="45D061A7" w14:textId="77777777" w:rsidR="00496804" w:rsidRDefault="00496804">
      <w:pPr>
        <w:pStyle w:val="tekst"/>
        <w:spacing w:line="240" w:lineRule="auto"/>
        <w:rPr>
          <w:rFonts w:ascii="Times New Roman" w:hAnsi="Times New Roman" w:cs="Times New Roman"/>
          <w:sz w:val="24"/>
          <w:szCs w:val="24"/>
        </w:rPr>
      </w:pPr>
    </w:p>
    <w:p w14:paraId="45D061A8" w14:textId="2432A70F"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Vrednovanje Programa razvoja KG će provesti vanjski stručnjaci koji su funkcionalno neovisni o tijelu nadležnom za izradu i provedbu istoga, pri čemu će odluka o početku postupka vrednovanja biti donesena od strane čelnika nadležnog tijela. Rezultati, ishodi i učinci provedbe ovog</w:t>
      </w:r>
      <w:r w:rsidR="004B108F">
        <w:rPr>
          <w:rFonts w:ascii="Times New Roman" w:hAnsi="Times New Roman" w:cs="Times New Roman"/>
          <w:sz w:val="24"/>
          <w:szCs w:val="24"/>
        </w:rPr>
        <w:t>a</w:t>
      </w:r>
      <w:r>
        <w:rPr>
          <w:rFonts w:ascii="Times New Roman" w:hAnsi="Times New Roman" w:cs="Times New Roman"/>
          <w:sz w:val="24"/>
          <w:szCs w:val="24"/>
        </w:rPr>
        <w:t xml:space="preserve"> Programa</w:t>
      </w:r>
      <w:r w:rsidR="004B108F">
        <w:rPr>
          <w:rFonts w:ascii="Times New Roman" w:hAnsi="Times New Roman" w:cs="Times New Roman"/>
          <w:sz w:val="24"/>
          <w:szCs w:val="24"/>
        </w:rPr>
        <w:t>,</w:t>
      </w:r>
      <w:r>
        <w:rPr>
          <w:rFonts w:ascii="Times New Roman" w:hAnsi="Times New Roman" w:cs="Times New Roman"/>
          <w:sz w:val="24"/>
          <w:szCs w:val="24"/>
        </w:rPr>
        <w:t xml:space="preserve"> utvrđeni postupkom vrednovanja</w:t>
      </w:r>
      <w:r w:rsidR="004B108F">
        <w:rPr>
          <w:rFonts w:ascii="Times New Roman" w:hAnsi="Times New Roman" w:cs="Times New Roman"/>
          <w:sz w:val="24"/>
          <w:szCs w:val="24"/>
        </w:rPr>
        <w:t>,</w:t>
      </w:r>
      <w:r>
        <w:rPr>
          <w:rFonts w:ascii="Times New Roman" w:hAnsi="Times New Roman" w:cs="Times New Roman"/>
          <w:sz w:val="24"/>
          <w:szCs w:val="24"/>
        </w:rPr>
        <w:t xml:space="preserve"> predstavljaju temelj za reviziju i daljnji proces ažuriranja i provedbe istoga. Po provođenju postupka vrednovanja, rezultate i preporuke će revidirati Koordinacijsko tijelo (središnje tijelo državne uprave nadležno za poslove regionalnoga razvoja i fondova E</w:t>
      </w:r>
      <w:r w:rsidR="004B108F">
        <w:rPr>
          <w:rFonts w:ascii="Times New Roman" w:hAnsi="Times New Roman" w:cs="Times New Roman"/>
          <w:sz w:val="24"/>
          <w:szCs w:val="24"/>
        </w:rPr>
        <w:t>uropske unije</w:t>
      </w:r>
      <w:r>
        <w:rPr>
          <w:rFonts w:ascii="Times New Roman" w:hAnsi="Times New Roman" w:cs="Times New Roman"/>
          <w:sz w:val="24"/>
          <w:szCs w:val="24"/>
        </w:rPr>
        <w:t>).</w:t>
      </w:r>
    </w:p>
    <w:p w14:paraId="45D061A9" w14:textId="77777777" w:rsidR="00496804" w:rsidRDefault="00496804">
      <w:pPr>
        <w:pStyle w:val="tekst"/>
        <w:spacing w:line="240" w:lineRule="auto"/>
        <w:rPr>
          <w:rFonts w:ascii="Times New Roman" w:hAnsi="Times New Roman" w:cs="Times New Roman"/>
          <w:sz w:val="24"/>
          <w:szCs w:val="24"/>
        </w:rPr>
      </w:pPr>
    </w:p>
    <w:p w14:paraId="45D061AA"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Metodologija postupka vrednovanja Programa razvoja KG obuhvaća sljedeće korake:</w:t>
      </w:r>
    </w:p>
    <w:p w14:paraId="45D061AB"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Pokretanje postupka vrednovanja</w:t>
      </w:r>
    </w:p>
    <w:p w14:paraId="45D061AC" w14:textId="1F82FE51"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Postupak vrednovanja pokrenut će čelnik tijela nadležnog za izradu i provedbu ovog</w:t>
      </w:r>
      <w:r w:rsidR="009E6E10">
        <w:rPr>
          <w:rFonts w:ascii="Times New Roman" w:hAnsi="Times New Roman" w:cs="Times New Roman"/>
          <w:sz w:val="24"/>
          <w:szCs w:val="24"/>
        </w:rPr>
        <w:t>a</w:t>
      </w:r>
      <w:r>
        <w:rPr>
          <w:rFonts w:ascii="Times New Roman" w:hAnsi="Times New Roman" w:cs="Times New Roman"/>
          <w:sz w:val="24"/>
          <w:szCs w:val="24"/>
        </w:rPr>
        <w:t xml:space="preserve"> Programa (ministarstva nadležnog za poslove prostornoga uređenja, graditeljstva i državne imovine) kroz odluku o početku postupka vrednovanja.</w:t>
      </w:r>
    </w:p>
    <w:p w14:paraId="45D061AD"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Osnivanje Odbora za vrednovanje</w:t>
      </w:r>
    </w:p>
    <w:p w14:paraId="45D061AE" w14:textId="463FA5A4"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imenuje članove Odbora za vrednovanje. Članove čine predstavnici Koordinacijskog tijela (središnje tijelo državne uprave nadležno za poslove regionalnoga razvoja i fondova E</w:t>
      </w:r>
      <w:r w:rsidR="00745386">
        <w:rPr>
          <w:rFonts w:ascii="Times New Roman" w:hAnsi="Times New Roman" w:cs="Times New Roman"/>
          <w:sz w:val="24"/>
          <w:szCs w:val="24"/>
        </w:rPr>
        <w:t>uropske unije</w:t>
      </w:r>
      <w:r>
        <w:rPr>
          <w:rFonts w:ascii="Times New Roman" w:hAnsi="Times New Roman" w:cs="Times New Roman"/>
          <w:sz w:val="24"/>
          <w:szCs w:val="24"/>
        </w:rPr>
        <w:t>), predstavnici nadležnog tijela za izradu i provedbu ovog</w:t>
      </w:r>
      <w:r w:rsidR="00745386">
        <w:rPr>
          <w:rFonts w:ascii="Times New Roman" w:hAnsi="Times New Roman" w:cs="Times New Roman"/>
          <w:sz w:val="24"/>
          <w:szCs w:val="24"/>
        </w:rPr>
        <w:t>a</w:t>
      </w:r>
      <w:r>
        <w:rPr>
          <w:rFonts w:ascii="Times New Roman" w:hAnsi="Times New Roman" w:cs="Times New Roman"/>
          <w:sz w:val="24"/>
          <w:szCs w:val="24"/>
        </w:rPr>
        <w:t xml:space="preserve"> Programa te ostali vanjski i unutarnji članovi sukladno odluci nadležnog tijela.</w:t>
      </w:r>
    </w:p>
    <w:p w14:paraId="45D061AF"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Utvrđivanje opisa djelovanja Odbora za vrednovanje</w:t>
      </w:r>
    </w:p>
    <w:p w14:paraId="45D061B0"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uz savjetovanje sa članovima Odbora za vrednovanje, izrađuje nacrt opisa djelovanja. Opis djelovanja sadrži ciljeve, ulogu Odbora za vrednovanje, razinu napora, proračun, vremenske rokove, sastav tima za vrednovanje, ukoliko se radi o vanjskim evaluatorima, zahtjeve za javno nadmetanje, isporučevine, zahtjeve izvještavanja, standarde kvalitete te očekivane rezultate i proces odobravanja rezultata.</w:t>
      </w:r>
    </w:p>
    <w:p w14:paraId="45D061B1"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Osnivanje tima za vrednovanje</w:t>
      </w:r>
    </w:p>
    <w:p w14:paraId="45D061B2"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osniva tim za vrednovanje koji može biti unutarnji (unutarnji stručnjaci, funkcionalno neovisni o nadležnom tijelu), vanjski (vanjski evaluatori) ili mješoviti.</w:t>
      </w:r>
    </w:p>
    <w:p w14:paraId="45D061B3"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Provođenje istraživanja i analize</w:t>
      </w:r>
    </w:p>
    <w:p w14:paraId="45D061B4"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Tim za vrednovanje provodi opsežna istraživanja i analize u okviru postupka vrednovanja. Obuhvat i priroda istraživanja definiraju se opisom djelovanja i svrhom vrednovanja.</w:t>
      </w:r>
    </w:p>
    <w:p w14:paraId="45D061B5"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Upravljanje postupkom vrednovanja</w:t>
      </w:r>
    </w:p>
    <w:p w14:paraId="45D061B6"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Tim za vrednovanje izvješćuje nadležno tijelo i Odbor za vrednovanje sukladno prethodno utvrđenom vremenskom planu provedbe postupka vrednovanja. Uloga nadležnog tijela i Odbora za vrednovanje je osigurati sukladnost rada i rezultata s opisom djelovanja, olakšati pristup potrebnim informacijama timu za vrednovanje te osigurati kvalitetu vrednovanja. Nadležno tijelo i Odbor za vrednovanje ne mogu nametati i mijenjati zaključke i preporuke tima za vrednovanje, sukladno potrebi za funkcionalnom neovisnošću tima za vrednovanje.</w:t>
      </w:r>
    </w:p>
    <w:p w14:paraId="45D061B7"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Dovršetak, provjera i odobravanje izvješća o vrednovanju i njegovih preporuka</w:t>
      </w:r>
    </w:p>
    <w:p w14:paraId="45D061B8"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Nacrt izvješća vrednovanja provjerava Odbor za vrednovanje te pruža povratne informacije timu za vrednovanje. Konačno izvješće o vrednovanju usvaja Odbor za vrednovanje. Nadležno tijelo izrađuje sažetak preporuka temeljem rezultata vrednovanja. U slučaju da se izvješće o vrednovanju ne usvoji, osniva se novi tim za vrednovanje te se pokreće izrada novog izvješća.</w:t>
      </w:r>
    </w:p>
    <w:p w14:paraId="45D061B9" w14:textId="77777777" w:rsidR="00496804" w:rsidRDefault="0037359D">
      <w:pPr>
        <w:pStyle w:val="tekst"/>
        <w:numPr>
          <w:ilvl w:val="0"/>
          <w:numId w:val="35"/>
        </w:numPr>
        <w:spacing w:line="240" w:lineRule="auto"/>
        <w:ind w:left="426"/>
        <w:rPr>
          <w:rFonts w:ascii="Times New Roman" w:hAnsi="Times New Roman" w:cs="Times New Roman"/>
          <w:b/>
          <w:sz w:val="24"/>
          <w:szCs w:val="24"/>
        </w:rPr>
      </w:pPr>
      <w:r>
        <w:rPr>
          <w:rFonts w:ascii="Times New Roman" w:hAnsi="Times New Roman" w:cs="Times New Roman"/>
          <w:b/>
          <w:sz w:val="24"/>
          <w:szCs w:val="24"/>
        </w:rPr>
        <w:lastRenderedPageBreak/>
        <w:t>Objavljivanje rezultata</w:t>
      </w:r>
    </w:p>
    <w:p w14:paraId="45D061BA"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Po usvajanju izvješća o vrednovanju od strane Odbora za vrednovanje, ono se objavljuje na internetskim stranicama nadležnog tijela.</w:t>
      </w:r>
    </w:p>
    <w:p w14:paraId="45D061BB"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Povratno integriranje rezultata u sustav strateškog planiranja</w:t>
      </w:r>
    </w:p>
    <w:p w14:paraId="45D061BC" w14:textId="0347DE8C"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Sažetak preporuka proizašlih iz vrednovanja nadležno tijelo dostavlja mjerodavnim tijelima više razine kako bi mogle biti ugrađene u sljedeći novi ili ažurirani akt strateškog planiranja. Ovo zahtijeva povezivanje preporuka s posebnim ciljevima strategija višeg reda, identificiranje mjera potrebnih za provedbu preporuka, odabir mjera /</w:t>
      </w:r>
      <w:r w:rsidR="00745386">
        <w:rPr>
          <w:rFonts w:ascii="Times New Roman" w:hAnsi="Times New Roman" w:cs="Times New Roman"/>
          <w:sz w:val="24"/>
          <w:szCs w:val="24"/>
        </w:rPr>
        <w:t xml:space="preserve"> </w:t>
      </w:r>
      <w:r>
        <w:rPr>
          <w:rFonts w:ascii="Times New Roman" w:hAnsi="Times New Roman" w:cs="Times New Roman"/>
          <w:sz w:val="24"/>
          <w:szCs w:val="24"/>
        </w:rPr>
        <w:t>ciljnih vrijednosti rezultata i utvrđivanje procjene njihova troška.</w:t>
      </w:r>
    </w:p>
    <w:p w14:paraId="45D061BD"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Povratno izvješćivanje o provedbi preporuka proizašlih iz vrednovanja</w:t>
      </w:r>
    </w:p>
    <w:p w14:paraId="45D061BE"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Godinu dana nakon završetka vrednovanja nadležno tijelo izrađuje procjenu stupnja integriranosti dogovorenih preporuka proizašlih iz vrednovanja u nove/ažurirane akte strateškog planiranja mjerodavnih tijela.</w:t>
      </w:r>
    </w:p>
    <w:p w14:paraId="45D061BF" w14:textId="77777777" w:rsidR="00496804" w:rsidRDefault="00496804">
      <w:pPr>
        <w:pStyle w:val="tekst"/>
        <w:spacing w:line="240" w:lineRule="auto"/>
        <w:ind w:left="426"/>
        <w:rPr>
          <w:rFonts w:ascii="Times New Roman" w:hAnsi="Times New Roman" w:cs="Times New Roman"/>
          <w:sz w:val="24"/>
          <w:szCs w:val="24"/>
        </w:rPr>
      </w:pPr>
    </w:p>
    <w:p w14:paraId="45D061C0" w14:textId="179AA299"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Provedbom postupka vrednovanja cilj je odrediti stupanj ostvarenja posebnih ciljeva, mjera i aktivnosti te s njima povezanih pokazatelja ishoda i rezultata. Vrednovanjem će se utvrditi prepreke u provedbi ovog</w:t>
      </w:r>
      <w:r w:rsidR="00745386">
        <w:rPr>
          <w:rFonts w:ascii="Times New Roman" w:hAnsi="Times New Roman" w:cs="Times New Roman"/>
          <w:sz w:val="24"/>
          <w:szCs w:val="24"/>
        </w:rPr>
        <w:t>a</w:t>
      </w:r>
      <w:r>
        <w:rPr>
          <w:rFonts w:ascii="Times New Roman" w:hAnsi="Times New Roman" w:cs="Times New Roman"/>
          <w:sz w:val="24"/>
          <w:szCs w:val="24"/>
        </w:rPr>
        <w:t xml:space="preserve"> Programa i alternativne mogućnosti djelovanja, čime će se doprinijeti učinkovitijem ostvarenju željenih ciljeva. Vrednovanjem će se utvrditi jesu li postignuti rezultati ostvareni na ekonomičan način, odnosno na koji način se može postići veća ekonomičnost u provedbi mjera i aktivnosti. Postupkom vrednovanja utvrđuje se u kojoj mjeri su zastupljene i ostvarene obveze preuzete iz NRS 2030 te ostalih relevantnih sektorskih i višesektorskih strategija. </w:t>
      </w:r>
    </w:p>
    <w:p w14:paraId="45D061C1" w14:textId="77777777" w:rsidR="00496804" w:rsidRDefault="00496804">
      <w:pPr>
        <w:spacing w:line="240" w:lineRule="auto"/>
        <w:rPr>
          <w:rFonts w:ascii="Times New Roman" w:hAnsi="Times New Roman"/>
          <w:sz w:val="24"/>
        </w:rPr>
      </w:pPr>
    </w:p>
    <w:p w14:paraId="45D061C2"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61C3"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36" w:name="_Toc51851666"/>
      <w:r>
        <w:rPr>
          <w:rFonts w:ascii="Times New Roman" w:hAnsi="Times New Roman" w:cs="Times New Roman"/>
          <w:sz w:val="24"/>
          <w:szCs w:val="24"/>
        </w:rPr>
        <w:lastRenderedPageBreak/>
        <w:t>POPIS LITERATURE I IZVORA PODATAKA</w:t>
      </w:r>
      <w:bookmarkEnd w:id="236"/>
    </w:p>
    <w:p w14:paraId="45D061C4" w14:textId="77777777" w:rsidR="00496804" w:rsidRDefault="00496804">
      <w:pPr>
        <w:spacing w:after="120" w:line="240" w:lineRule="auto"/>
        <w:rPr>
          <w:rFonts w:ascii="Times New Roman" w:hAnsi="Times New Roman"/>
          <w:sz w:val="24"/>
        </w:rPr>
      </w:pPr>
    </w:p>
    <w:p w14:paraId="45D061C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Communication from the Commission to the European Parliament, the Council, the European Economic and Social Committee and the Committee of the Regions: A European Strategy for Plastics in a Circular Economy, 2018</w:t>
      </w:r>
    </w:p>
    <w:p w14:paraId="45D061C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Communication from the Commission to the European Parliament, the Council, the European Economic and Social Committee and the Committee of the Regions: Closing the loop – An EU action plan for the Circular Economy, 2015</w:t>
      </w:r>
    </w:p>
    <w:p w14:paraId="45D061C7"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European Commission, Report from the Commission to the European Parliament, the Council, the European Economic and Social Committee and the Committee of the Regions: on the implementation of the Circular Economy Action Plan, 2019 </w:t>
      </w:r>
    </w:p>
    <w:p w14:paraId="45D061C8" w14:textId="5DDFF4AB"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Communication from the Commission to the European Parliament, the Council, the European Economic and Social Committee and the Committee of the Regions: A European Strategy for Plastics in a Circular Economy, 2018</w:t>
      </w:r>
    </w:p>
    <w:p w14:paraId="45D061C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A Circular Economy for Plastics: Insights from research and innovation to inform policy and funding decisions, 2019</w:t>
      </w:r>
    </w:p>
    <w:p w14:paraId="45D061C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The Circular Economy: Connecting, creating and conserving value</w:t>
      </w:r>
    </w:p>
    <w:p w14:paraId="45D061C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Green Paper on a European Strategy on Plastic Waste in the Environment, 2013</w:t>
      </w:r>
    </w:p>
    <w:p w14:paraId="45D061C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EU Directive 2008/98/EC of the European Parliament and of the Council on waste and repealing certain Directives, </w:t>
      </w:r>
      <w:r w:rsidRPr="007901A7">
        <w:rPr>
          <w:rStyle w:val="Hiperveza"/>
          <w:rFonts w:ascii="Times New Roman" w:hAnsi="Times New Roman" w:cs="Times New Roman"/>
          <w:b w:val="0"/>
          <w:bCs/>
          <w:color w:val="0000FF"/>
          <w:sz w:val="24"/>
          <w:u w:val="single"/>
        </w:rPr>
        <w:t>https://eur-lex.europa.eu/legal-content/EN/TXT/?uri=celex%3A32008L0098</w:t>
      </w:r>
    </w:p>
    <w:p w14:paraId="45D061C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EU Directive 2006/66/EC of the European Parliament and of the Council on batteries and accumulators and waste batteries and accumulators and repealing Directive 91/157/EEC, </w:t>
      </w:r>
      <w:r w:rsidRPr="007901A7">
        <w:rPr>
          <w:rStyle w:val="Hiperveza"/>
          <w:rFonts w:ascii="Times New Roman" w:hAnsi="Times New Roman" w:cs="Times New Roman"/>
          <w:b w:val="0"/>
          <w:bCs/>
          <w:color w:val="0000FF"/>
          <w:sz w:val="24"/>
          <w:u w:val="single"/>
        </w:rPr>
        <w:t>https://eur-lex.europa.eu/legal-content/EN/TXT/?uri=celex:32006L0066</w:t>
      </w:r>
    </w:p>
    <w:p w14:paraId="45D061CE" w14:textId="77777777" w:rsidR="00496804" w:rsidRPr="008A0C52" w:rsidRDefault="0037359D" w:rsidP="007901A7">
      <w:pPr>
        <w:pStyle w:val="Odlomakpopisa"/>
        <w:numPr>
          <w:ilvl w:val="0"/>
          <w:numId w:val="36"/>
        </w:numPr>
        <w:spacing w:after="120" w:line="240" w:lineRule="auto"/>
        <w:ind w:left="425" w:hanging="425"/>
        <w:contextualSpacing w:val="0"/>
        <w:jc w:val="left"/>
        <w:rPr>
          <w:rFonts w:ascii="Times New Roman" w:hAnsi="Times New Roman"/>
          <w:b w:val="0"/>
          <w:bCs/>
          <w:sz w:val="24"/>
          <w:lang w:val="en-GB" w:eastAsia="hr-HR"/>
        </w:rPr>
      </w:pPr>
      <w:r>
        <w:rPr>
          <w:rFonts w:ascii="Times New Roman" w:hAnsi="Times New Roman"/>
          <w:b w:val="0"/>
          <w:bCs/>
          <w:sz w:val="24"/>
          <w:lang w:val="en-GB" w:eastAsia="hr-HR"/>
        </w:rPr>
        <w:t xml:space="preserve">EU Directive 2012/19/EU of the European Parliament and of the Council on waste electical and electronic equipment </w:t>
      </w:r>
      <w:r w:rsidRPr="007901A7">
        <w:rPr>
          <w:rStyle w:val="Hiperveza"/>
          <w:rFonts w:ascii="Times New Roman" w:hAnsi="Times New Roman" w:cs="Times New Roman"/>
          <w:b w:val="0"/>
          <w:bCs/>
          <w:color w:val="0000FF"/>
          <w:sz w:val="24"/>
          <w:u w:val="single"/>
        </w:rPr>
        <w:t>https://eur-lex.europa.eu/legal-</w:t>
      </w:r>
      <w:r w:rsidRPr="008A0C52">
        <w:rPr>
          <w:rStyle w:val="Hiperveza"/>
          <w:rFonts w:ascii="Times New Roman" w:hAnsi="Times New Roman" w:cs="Times New Roman"/>
          <w:b w:val="0"/>
          <w:bCs/>
          <w:color w:val="0000FF"/>
          <w:sz w:val="24"/>
          <w:u w:val="single"/>
        </w:rPr>
        <w:t>content/EN/TXT/?uri=uriserv:OJ.L_.2012.197.01.0038.01.ENG</w:t>
      </w:r>
      <w:r w:rsidRPr="008A0C52">
        <w:rPr>
          <w:rFonts w:ascii="Times New Roman" w:hAnsi="Times New Roman"/>
          <w:b w:val="0"/>
          <w:bCs/>
          <w:sz w:val="24"/>
          <w:lang w:val="en-GB" w:eastAsia="hr-HR"/>
        </w:rPr>
        <w:t xml:space="preserve"> </w:t>
      </w:r>
    </w:p>
    <w:p w14:paraId="45D061CF" w14:textId="77777777" w:rsidR="00496804" w:rsidRPr="008A0C52"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sidRPr="008A0C52">
        <w:rPr>
          <w:rFonts w:ascii="Times New Roman" w:hAnsi="Times New Roman"/>
          <w:b w:val="0"/>
          <w:bCs/>
          <w:sz w:val="24"/>
          <w:lang w:val="en-GB" w:eastAsia="hr-HR"/>
        </w:rPr>
        <w:t xml:space="preserve">EU Directive 2009/125/EC of the European Parliament and of the Council of establishing a framework for the setting of ecodesign requirements for energy-related products, </w:t>
      </w:r>
      <w:r w:rsidRPr="008A0C52">
        <w:rPr>
          <w:rStyle w:val="Hiperveza"/>
          <w:rFonts w:ascii="Times New Roman" w:hAnsi="Times New Roman" w:cs="Times New Roman"/>
          <w:b w:val="0"/>
          <w:bCs/>
          <w:color w:val="0000FF"/>
          <w:sz w:val="24"/>
          <w:u w:val="single"/>
        </w:rPr>
        <w:t>https://eur-lex.europa.eu/LexUriServ/LexUriServ.do?uri=OJ:L:2009:285:0010:0035:en:PDF</w:t>
      </w:r>
    </w:p>
    <w:p w14:paraId="45D061D0"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Urban agenda for the EU, Circular Economy: Action plan, 2018</w:t>
      </w:r>
    </w:p>
    <w:p w14:paraId="45D061D1"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ESPON, Interact, Interreg Europe and URBACT – Pathways to a circular economy in cities and regions. Policy brief addressed to policy makers from European cities and regions, 2016</w:t>
      </w:r>
    </w:p>
    <w:p w14:paraId="45D061D2"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Investment Bank, The EIB Circular Economy Guide: Supporting the circular transition, 2019</w:t>
      </w:r>
    </w:p>
    <w:p w14:paraId="45D061D3"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Lewandowski, M., 2016: Designing the Business Model for Circular Economy – Towards the Conceptual Framework, Sustainability 8 (43), 1-28</w:t>
      </w:r>
    </w:p>
    <w:p w14:paraId="45D061D4"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Strategija prostornog razvoja Republike Hrvatske (NN 106/17)</w:t>
      </w:r>
    </w:p>
    <w:p w14:paraId="45D061D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Proston, F., 2012: A Global Redesign? Shaping the Circular Economy, Energy, Environment and Resource Governance 2012/02</w:t>
      </w:r>
    </w:p>
    <w:p w14:paraId="45D061D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Valavanidis, A., 2018: Concept and Practice of the Circular Economy, http://chem-tox-ecotox.org/ScientificReviews/ (26.09.2019.)</w:t>
      </w:r>
    </w:p>
    <w:p w14:paraId="45D061D7" w14:textId="77777777" w:rsidR="00496804" w:rsidRPr="008A0C52"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lastRenderedPageBreak/>
        <w:t xml:space="preserve">Wautelet, T., 2018: </w:t>
      </w:r>
      <w:r w:rsidRPr="008A0C52">
        <w:rPr>
          <w:rFonts w:ascii="Times New Roman" w:hAnsi="Times New Roman"/>
          <w:b w:val="0"/>
          <w:bCs/>
          <w:sz w:val="24"/>
          <w:lang w:val="en-GB" w:eastAsia="hr-HR"/>
        </w:rPr>
        <w:t xml:space="preserve">The Concept of Circular Economy: its Origins and its Evolution, </w:t>
      </w:r>
      <w:r w:rsidRPr="008A0C52">
        <w:rPr>
          <w:rStyle w:val="Hiperveza"/>
          <w:rFonts w:ascii="Times New Roman" w:hAnsi="Times New Roman" w:cs="Times New Roman"/>
          <w:b w:val="0"/>
          <w:bCs/>
          <w:color w:val="0000FF"/>
          <w:sz w:val="24"/>
          <w:u w:val="single"/>
        </w:rPr>
        <w:t>https://www.researchgate.net/publication/322555840_The_Concept_of_Circular_Economy_its_Origins_and_its_Evolution</w:t>
      </w:r>
      <w:r w:rsidRPr="008A0C52">
        <w:rPr>
          <w:rFonts w:ascii="Times New Roman" w:hAnsi="Times New Roman"/>
          <w:b w:val="0"/>
          <w:bCs/>
          <w:sz w:val="24"/>
          <w:lang w:val="en-GB" w:eastAsia="hr-HR"/>
        </w:rPr>
        <w:t xml:space="preserve"> (26.09.2019.) </w:t>
      </w:r>
    </w:p>
    <w:p w14:paraId="45D061D8"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sidRPr="008A0C52">
        <w:rPr>
          <w:rFonts w:ascii="Times New Roman" w:hAnsi="Times New Roman"/>
          <w:b w:val="0"/>
          <w:bCs/>
          <w:sz w:val="24"/>
          <w:lang w:val="en-GB" w:eastAsia="hr-HR"/>
        </w:rPr>
        <w:t>UNCTAD, 2018: Circular Economy</w:t>
      </w:r>
      <w:r>
        <w:rPr>
          <w:rFonts w:ascii="Times New Roman" w:hAnsi="Times New Roman"/>
          <w:b w:val="0"/>
          <w:bCs/>
          <w:sz w:val="24"/>
          <w:lang w:val="en-GB" w:eastAsia="hr-HR"/>
        </w:rPr>
        <w:t xml:space="preserve">: The New Normal?, Policy Brief 61 </w:t>
      </w:r>
    </w:p>
    <w:p w14:paraId="45D061D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Banzhaf, E., Kabisch, S., Knapp, S., Rink, D., Wolff, M., &amp; Kindler, A. (2017). Integrated research on land-use changes in the face of urban transformations–An analytic framework for further studies. Land use policy, 60, 403-407.</w:t>
      </w:r>
    </w:p>
    <w:p w14:paraId="45D061D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Bibri, S. E., &amp; Krogstie, J. (2017). Smart sustainable cities of the future: An extensive interdisciplinary literature review. Sustainable Cities and Society, 31, 183-212.</w:t>
      </w:r>
    </w:p>
    <w:p w14:paraId="45D061D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Bulkeley, H. (2006). Urban sustainability: learning from best practice? Environment and planning A, 38(6), 1029-1044.</w:t>
      </w:r>
    </w:p>
    <w:p w14:paraId="45D061D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Campbell, S. D. (2016). The Planner's Triangle Revisited: Sustainability and the Evolution of a Planning Ideal That Can't Stand Still. Journal of the American Planning Association, 82(4), 388-397.</w:t>
      </w:r>
    </w:p>
    <w:p w14:paraId="45D061D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Cohesion policy and sustainable development, Final Synthesis Report, Institute for European Environmental Policy (IEEP), 2011.</w:t>
      </w:r>
    </w:p>
    <w:p w14:paraId="45D061DE"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De Jong, M., Joss, S., Schraven, D., Zhan, C., &amp; Weijnen, M. (2015). Sustainable–smart–resilient–low carbon–eco–knowledge cities; making sense of a multitude of concepts promoting sustainable urbanization. Journal of Cleaner production, 109, 25-38.</w:t>
      </w:r>
    </w:p>
    <w:p w14:paraId="45D061DF"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EEA (2016). The direct and indirect impacts of EU policies on land, EEA Report.</w:t>
      </w:r>
    </w:p>
    <w:p w14:paraId="45D061E0"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Fikken, W. J., van Timmeren, A., &amp; Wamelink, J. W. F. (2014). Equalization of the costs and benefits of sustainability measures in area development: two cases to bring new focus. WIT Transactions on Ecology and the Environment, 181, 267-278.</w:t>
      </w:r>
    </w:p>
    <w:p w14:paraId="45D061E1"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Fusco Girard, L. (2013). Toward a smart sustainable development of port cities/areas: The role of the “Historic Urban Landscape” approach. Sustainability, 5(10), 4329-4348.</w:t>
      </w:r>
    </w:p>
    <w:p w14:paraId="45D061E2"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Geneletti, D., La Rosa, D., Spyra, M., &amp; Cortinovis, C. (2017). A review of approaches and challenges for sustainable planning in urban peripheries. Landscape and Urban Planning, 165, 231-243.</w:t>
      </w:r>
    </w:p>
    <w:p w14:paraId="45D061E3"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Goedman, H., &amp; Zonneveld, W. (2008). Dutch Spatial Planning: From implicit towards explicit sustainable urban development. In Proceedings of the44th ISOCARP Congress.</w:t>
      </w:r>
    </w:p>
    <w:p w14:paraId="45D061E4"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Jabareen, Y. R. (2006). Sustainable urban forms: Their typologies, models, and concepts. Journal of planning education and research, 26(1), 38-52.</w:t>
      </w:r>
    </w:p>
    <w:p w14:paraId="45D061E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Kenworthy, J. R. (2006). The eco-city: ten key transport and planning dimensions for sustainable city development. Environment and urbanization, 18(1), 67-85.</w:t>
      </w:r>
    </w:p>
    <w:p w14:paraId="45D061E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Mans, U., Meerow, S., &amp; Verrest, H. (2013). Best practices in urban planning and management technologies: Netherlands best practice. (Working paper series: land and urban management). Kingston: The University of the West Indies.</w:t>
      </w:r>
    </w:p>
    <w:p w14:paraId="45D061E7"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Nordregio, Austrian Institute for Spatial Planning &amp; OTB Research for the Built Environment, Delft University of Technology (2016). Co-creating Attractive and Sustainable Urban Areas and Lifestyles: Exploring new forms of inclusive urban governance, Synthesis Report from the CASUAL Project, Stockholm: Nordregio.</w:t>
      </w:r>
    </w:p>
    <w:p w14:paraId="45D061E8"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Ochoa, J. J., Tan, Y., Qian, Q. K., Shen, L., &amp; Moreno, E. L. (2018). Learning from best practices in sustainable urbanization. Habitat international, 78, 83-95.</w:t>
      </w:r>
    </w:p>
    <w:p w14:paraId="45D061E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lastRenderedPageBreak/>
        <w:t xml:space="preserve">OECD (2018), Rethinking Urban Sprawl: Moving Towards Sustainable Cities, OECD Publishing, Paris. </w:t>
      </w:r>
      <w:r w:rsidRPr="008A0C52">
        <w:rPr>
          <w:rStyle w:val="Hiperveza"/>
          <w:rFonts w:ascii="Times New Roman" w:hAnsi="Times New Roman" w:cs="Times New Roman"/>
          <w:b w:val="0"/>
          <w:bCs/>
          <w:color w:val="0000FF"/>
          <w:sz w:val="24"/>
          <w:u w:val="single"/>
        </w:rPr>
        <w:t>http://dx.doi.org/10.1787/9789264189881-en</w:t>
      </w:r>
    </w:p>
    <w:p w14:paraId="45D061E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Prévost, A., Molines, N.,  Dehan, P., Bandet, J. The urban planning of French cities and the challenge of sustainable town planning: improvement and limits. AESOP 26th Annual Congress, Jul 2012, Ankara, Turkey. hal-01179362 Urban Development and Building Heights, Guidelines for Planning Authorities, December 2018, Government of Ireland.</w:t>
      </w:r>
    </w:p>
    <w:p w14:paraId="45D061E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Stewart, D. (2010) Smart Growth: From Rhetoric to Reality in Irish Urban Planning 1997-2007. Doctoral Thesis. Dublin, Dublin Institute of Technology. doi:10.21427/D75G6V</w:t>
      </w:r>
    </w:p>
    <w:p w14:paraId="45D061E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Stewart, D., Sirr, L., Kelly, R. (2006) Smart Growth: A Buffer Zone Between Decentrist And Centrist Theory? International Journal of Sustainable Development 1, 1-13.</w:t>
      </w:r>
    </w:p>
    <w:p w14:paraId="45D061E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Westerink, J., Haase, D., Bauer, A., Ravetz, J., Jarrige, F., &amp; Aalbers, C. B. (2013). Dealing with sustainability trade-offs of the compact city in peri-urban planning across European city regions. European Planning Studies, 21(4), 473-497.</w:t>
      </w:r>
    </w:p>
    <w:p w14:paraId="45D061EE" w14:textId="77777777" w:rsidR="00496804" w:rsidRDefault="00496804">
      <w:pPr>
        <w:spacing w:line="240" w:lineRule="auto"/>
        <w:jc w:val="left"/>
        <w:rPr>
          <w:rFonts w:ascii="Times New Roman" w:hAnsi="Times New Roman"/>
          <w:sz w:val="24"/>
        </w:rPr>
      </w:pPr>
    </w:p>
    <w:sectPr w:rsidR="00496804">
      <w:pgSz w:w="11900" w:h="16840"/>
      <w:pgMar w:top="1701" w:right="1134" w:bottom="1134" w:left="1134" w:header="709" w:footer="2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D2D70" w14:textId="77777777" w:rsidR="00E01DDA" w:rsidRDefault="00E01DDA">
      <w:pPr>
        <w:spacing w:line="240" w:lineRule="auto"/>
      </w:pPr>
      <w:r>
        <w:separator/>
      </w:r>
    </w:p>
  </w:endnote>
  <w:endnote w:type="continuationSeparator" w:id="0">
    <w:p w14:paraId="0282A972" w14:textId="77777777" w:rsidR="00E01DDA" w:rsidRDefault="00E01DDA">
      <w:pPr>
        <w:spacing w:line="240" w:lineRule="auto"/>
      </w:pPr>
      <w:r>
        <w:continuationSeparator/>
      </w:r>
    </w:p>
  </w:endnote>
  <w:endnote w:type="continuationNotice" w:id="1">
    <w:p w14:paraId="662C1F96" w14:textId="77777777" w:rsidR="00E01DDA" w:rsidRDefault="00E01D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utura Lt BT">
    <w:altName w:val="Century Gothic"/>
    <w:charset w:val="00"/>
    <w:family w:val="swiss"/>
    <w:pitch w:val="variable"/>
    <w:sig w:usb0="00000087" w:usb1="00000000" w:usb2="00000000" w:usb3="00000000" w:csb0="0000001B"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Helvetica Neue">
    <w:altName w:val="Times New Roman"/>
    <w:charset w:val="00"/>
    <w:family w:val="auto"/>
    <w:pitch w:val="variable"/>
    <w:sig w:usb0="E50002FF" w:usb1="500079DB" w:usb2="00000010" w:usb3="00000000" w:csb0="00000001" w:csb1="00000000"/>
  </w:font>
  <w:font w:name="FZYaoTi">
    <w:altName w:val="Segoe Print"/>
    <w:panose1 w:val="00000000000000000000"/>
    <w:charset w:val="86"/>
    <w:family w:val="roman"/>
    <w:notTrueType/>
    <w:pitch w:val="default"/>
  </w:font>
  <w:font w:name="Myriad Pro">
    <w:altName w:val="Arial"/>
    <w:panose1 w:val="00000000000000000000"/>
    <w:charset w:val="00"/>
    <w:family w:val="swiss"/>
    <w:notTrueType/>
    <w:pitch w:val="variable"/>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766016"/>
    </w:sdtPr>
    <w:sdtEndPr>
      <w:rPr>
        <w:rFonts w:ascii="Times New Roman" w:hAnsi="Times New Roman"/>
      </w:rPr>
    </w:sdtEndPr>
    <w:sdtContent>
      <w:p w14:paraId="45D06236" w14:textId="07C8C367" w:rsidR="00EA4B77" w:rsidRDefault="00EA4B77">
        <w:pPr>
          <w:pStyle w:val="Podnoje"/>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170386">
          <w:rPr>
            <w:rFonts w:ascii="Times New Roman" w:hAnsi="Times New Roman"/>
            <w:noProof/>
          </w:rPr>
          <w:t>64</w:t>
        </w:r>
        <w:r>
          <w:rPr>
            <w:rFonts w:ascii="Times New Roman" w:hAnsi="Times New Roman"/>
          </w:rPr>
          <w:fldChar w:fldCharType="end"/>
        </w:r>
      </w:p>
    </w:sdtContent>
  </w:sdt>
  <w:p w14:paraId="45D06237" w14:textId="77777777" w:rsidR="00EA4B77" w:rsidRDefault="00EA4B7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6238" w14:textId="77777777" w:rsidR="00EA4B77" w:rsidRDefault="00EA4B77">
    <w:pPr>
      <w:pStyle w:val="Podnoje"/>
      <w:jc w:val="right"/>
    </w:pPr>
  </w:p>
  <w:p w14:paraId="45D06239" w14:textId="77777777" w:rsidR="00EA4B77" w:rsidRDefault="00EA4B7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E5B2D" w14:textId="77777777" w:rsidR="00E01DDA" w:rsidRDefault="00E01DDA">
      <w:pPr>
        <w:spacing w:line="240" w:lineRule="auto"/>
      </w:pPr>
      <w:r>
        <w:separator/>
      </w:r>
    </w:p>
  </w:footnote>
  <w:footnote w:type="continuationSeparator" w:id="0">
    <w:p w14:paraId="02C1D6A7" w14:textId="77777777" w:rsidR="00E01DDA" w:rsidRDefault="00E01DDA">
      <w:pPr>
        <w:spacing w:line="240" w:lineRule="auto"/>
      </w:pPr>
      <w:r>
        <w:continuationSeparator/>
      </w:r>
    </w:p>
  </w:footnote>
  <w:footnote w:type="continuationNotice" w:id="1">
    <w:p w14:paraId="7E644E34" w14:textId="77777777" w:rsidR="00E01DDA" w:rsidRDefault="00E01DDA">
      <w:pPr>
        <w:spacing w:line="240" w:lineRule="auto"/>
      </w:pPr>
    </w:p>
  </w:footnote>
  <w:footnote w:id="2">
    <w:p w14:paraId="45D0623A" w14:textId="77777777" w:rsidR="00EA4B77" w:rsidRDefault="00EA4B77">
      <w:pPr>
        <w:pStyle w:val="Tekstfusnote"/>
      </w:pPr>
      <w:r>
        <w:rPr>
          <w:rStyle w:val="Referencafusnote"/>
        </w:rPr>
        <w:footnoteRef/>
      </w:r>
      <w:r>
        <w:t xml:space="preserve"> Strategija prostornog razvoja Republike Hrvatske (NN 106/17), dostupno na:</w:t>
      </w:r>
      <w:r>
        <w:rPr>
          <w:rFonts w:eastAsiaTheme="minorHAnsi"/>
          <w:color w:val="56C7AA" w:themeColor="hyperlink"/>
          <w:u w:val="single"/>
          <w:lang w:val="en-US" w:eastAsia="en-US"/>
        </w:rPr>
        <w:t xml:space="preserve"> </w:t>
      </w:r>
      <w:r>
        <w:rPr>
          <w:rStyle w:val="Hiperveza"/>
          <w:rFonts w:ascii="Times New Roman" w:eastAsiaTheme="minorHAnsi" w:hAnsi="Times New Roman"/>
          <w:color w:val="0000FF"/>
          <w:sz w:val="16"/>
          <w:u w:val="single"/>
          <w:lang w:eastAsia="en-US"/>
        </w:rPr>
        <w:t>https://narodne-novine.nn.hr/clanci/sluzbeni/2017_10_106_2423.html</w:t>
      </w:r>
      <w:r>
        <w:t xml:space="preserve"> </w:t>
      </w:r>
    </w:p>
  </w:footnote>
  <w:footnote w:id="3">
    <w:p w14:paraId="45D0623B" w14:textId="32C4A5F9" w:rsidR="00EA4B77" w:rsidRDefault="00EA4B77">
      <w:pPr>
        <w:pStyle w:val="Tekstfusnote"/>
      </w:pPr>
      <w:r>
        <w:rPr>
          <w:rStyle w:val="Referencafusnote"/>
        </w:rPr>
        <w:footnoteRef/>
      </w:r>
      <w:r>
        <w:rPr>
          <w:i/>
        </w:rPr>
        <w:t xml:space="preserve"> </w:t>
      </w:r>
      <w:r>
        <w:t xml:space="preserve">Komunikacija Komisije Europskom parlamentu, Europskom vijeću, Vijeću, Europskom gospodarskom i socijalnom odboru i Odboru regija:  Europski zeleni plan (COM(2019) 640 final) od 11.12.2019. godine, dostupno na: </w:t>
      </w:r>
    </w:p>
    <w:p w14:paraId="45D0623C" w14:textId="77777777" w:rsidR="00EA4B77" w:rsidRDefault="00EA4B77">
      <w:pPr>
        <w:pStyle w:val="Tekstfusnote"/>
      </w:pPr>
      <w:r>
        <w:rPr>
          <w:rStyle w:val="Hiperveza"/>
          <w:rFonts w:ascii="Times New Roman" w:eastAsiaTheme="minorHAnsi" w:hAnsi="Times New Roman"/>
          <w:color w:val="0000FF"/>
          <w:sz w:val="16"/>
          <w:lang w:eastAsia="en-US"/>
        </w:rPr>
        <w:t xml:space="preserve">  </w:t>
      </w:r>
      <w:r>
        <w:rPr>
          <w:rStyle w:val="Hiperveza"/>
          <w:rFonts w:ascii="Times New Roman" w:eastAsiaTheme="minorHAnsi" w:hAnsi="Times New Roman"/>
          <w:color w:val="0000FF"/>
          <w:sz w:val="16"/>
          <w:u w:val="single"/>
          <w:lang w:eastAsia="en-US"/>
        </w:rPr>
        <w:t>https://eur-lex.europa.eu/legal-content/HR/TXT/?uri=CELEX:52019DC0640</w:t>
      </w:r>
    </w:p>
  </w:footnote>
  <w:footnote w:id="4">
    <w:p w14:paraId="45D0623D" w14:textId="4D68D7A7" w:rsidR="00EA4B77" w:rsidRDefault="00EA4B77">
      <w:pPr>
        <w:pStyle w:val="Tekstfusnote"/>
        <w:rPr>
          <w:rStyle w:val="Hiperveza"/>
          <w:rFonts w:ascii="Times New Roman" w:eastAsiaTheme="minorHAnsi" w:hAnsi="Times New Roman"/>
          <w:color w:val="0000FF"/>
          <w:sz w:val="16"/>
          <w:u w:val="single"/>
          <w:lang w:eastAsia="en-US"/>
        </w:rPr>
      </w:pPr>
      <w:r>
        <w:rPr>
          <w:rStyle w:val="Referencafusnote"/>
        </w:rPr>
        <w:footnoteRef/>
      </w:r>
      <w:r>
        <w:rPr>
          <w:i/>
        </w:rPr>
        <w:t xml:space="preserve"> </w:t>
      </w:r>
      <w:r>
        <w:t>Zakon o prostornom uređenju (NN 153/13, 65/17, 114/18, 39/19, 98/19)</w:t>
      </w:r>
    </w:p>
  </w:footnote>
  <w:footnote w:id="5">
    <w:p w14:paraId="45D0623E" w14:textId="77777777" w:rsidR="00EA4B77" w:rsidRDefault="00EA4B77">
      <w:pPr>
        <w:pStyle w:val="Tekstfusnote"/>
      </w:pPr>
      <w:r>
        <w:rPr>
          <w:rStyle w:val="Referencafusnote"/>
        </w:rPr>
        <w:footnoteRef/>
      </w:r>
      <w:r>
        <w:rPr>
          <w:rStyle w:val="Referencafusnote"/>
        </w:rPr>
        <w:t xml:space="preserve"> </w:t>
      </w:r>
      <w:r>
        <w:rPr>
          <w:rStyle w:val="Referencafusnote"/>
          <w:vertAlign w:val="baseline"/>
        </w:rPr>
        <w:t xml:space="preserve">Program Ujedinjenih naroda za održivi razvoj 2030, dostupno na: </w:t>
      </w:r>
      <w:r>
        <w:rPr>
          <w:rStyle w:val="Hiperveza"/>
          <w:rFonts w:ascii="Times New Roman" w:eastAsiaTheme="minorHAnsi" w:hAnsi="Times New Roman"/>
          <w:color w:val="0000FF"/>
          <w:sz w:val="16"/>
          <w:u w:val="single"/>
          <w:lang w:eastAsia="en-US"/>
        </w:rPr>
        <w:t>https://www.un.org/ga/search/view_doc.asp?symbol=A/RES/70/1&amp;Lang=E</w:t>
      </w:r>
    </w:p>
  </w:footnote>
  <w:footnote w:id="6">
    <w:p w14:paraId="45D0623F" w14:textId="77777777" w:rsidR="00EA4B77" w:rsidRDefault="00EA4B77">
      <w:pPr>
        <w:pStyle w:val="Tekstfusnote"/>
      </w:pPr>
      <w:r>
        <w:rPr>
          <w:rStyle w:val="Referencafusnote"/>
        </w:rPr>
        <w:footnoteRef/>
      </w:r>
      <w:r>
        <w:t xml:space="preserve"> Nova urbana agenda, dostupno na: </w:t>
      </w:r>
      <w:hyperlink r:id="rId1" w:history="1">
        <w:r>
          <w:rPr>
            <w:rStyle w:val="Hiperveza"/>
            <w:rFonts w:ascii="Times New Roman" w:eastAsiaTheme="minorHAnsi" w:hAnsi="Times New Roman"/>
            <w:color w:val="0000FF"/>
            <w:sz w:val="16"/>
            <w:u w:val="single"/>
            <w:lang w:eastAsia="en-US"/>
          </w:rPr>
          <w:t>https://www.un.org/en/development/desa/population/migration/generalassembly/docs/globalcompact/A_RES_71_256.pdf</w:t>
        </w:r>
      </w:hyperlink>
      <w:r>
        <w:t xml:space="preserve"> </w:t>
      </w:r>
    </w:p>
  </w:footnote>
  <w:footnote w:id="7">
    <w:p w14:paraId="45D06240" w14:textId="77777777" w:rsidR="00EA4B77" w:rsidRDefault="00EA4B77">
      <w:pPr>
        <w:pStyle w:val="Tekstfusnote"/>
      </w:pPr>
      <w:r>
        <w:rPr>
          <w:rStyle w:val="Referencafusnote"/>
        </w:rPr>
        <w:footnoteRef/>
      </w:r>
      <w:r>
        <w:t xml:space="preserve"> World Urbanization Prospects, 2018., dostupno na: </w:t>
      </w:r>
      <w:hyperlink r:id="rId2" w:history="1">
        <w:r>
          <w:rPr>
            <w:rStyle w:val="Hiperveza"/>
            <w:rFonts w:ascii="Times New Roman" w:eastAsiaTheme="minorHAnsi" w:hAnsi="Times New Roman"/>
            <w:color w:val="0000FF"/>
            <w:sz w:val="16"/>
            <w:u w:val="single"/>
            <w:lang w:eastAsia="en-US"/>
          </w:rPr>
          <w:t>https://population.un.org/wup/Publications/Files/WUP2018-Report.pdf</w:t>
        </w:r>
      </w:hyperlink>
      <w:r>
        <w:t xml:space="preserve"> </w:t>
      </w:r>
    </w:p>
  </w:footnote>
  <w:footnote w:id="8">
    <w:p w14:paraId="45D06241" w14:textId="77777777" w:rsidR="00EA4B77" w:rsidRDefault="00EA4B77">
      <w:pPr>
        <w:pStyle w:val="Tekstfusnote"/>
      </w:pPr>
      <w:r>
        <w:rPr>
          <w:rStyle w:val="Referencafusnote"/>
        </w:rPr>
        <w:footnoteRef/>
      </w:r>
      <w:r>
        <w:t xml:space="preserve"> Pariški sporazum, dostupno na: </w:t>
      </w:r>
      <w:hyperlink r:id="rId3" w:history="1">
        <w:r>
          <w:rPr>
            <w:rStyle w:val="Hiperveza"/>
            <w:rFonts w:ascii="Times New Roman" w:eastAsiaTheme="minorHAnsi" w:hAnsi="Times New Roman"/>
            <w:color w:val="0000FF"/>
            <w:sz w:val="16"/>
            <w:u w:val="single"/>
            <w:lang w:eastAsia="en-US"/>
          </w:rPr>
          <w:t>https://unfccc.int/process-and-meetings/the-paris-agreement/the-paris-agreement</w:t>
        </w:r>
      </w:hyperlink>
      <w:r>
        <w:t xml:space="preserve"> </w:t>
      </w:r>
    </w:p>
  </w:footnote>
  <w:footnote w:id="9">
    <w:p w14:paraId="45D06242" w14:textId="77777777" w:rsidR="00EA4B77" w:rsidRDefault="00EA4B77">
      <w:pPr>
        <w:pStyle w:val="Tekstfusnote"/>
      </w:pPr>
      <w:r>
        <w:rPr>
          <w:rStyle w:val="Referencafusnote"/>
        </w:rPr>
        <w:footnoteRef/>
      </w:r>
      <w:r>
        <w:t xml:space="preserve"> Europa 2020. Europska strategija za pametan, održiv i uključiv rast, dostupno na: </w:t>
      </w:r>
    </w:p>
    <w:p w14:paraId="45D06243" w14:textId="77777777" w:rsidR="00EA4B77" w:rsidRDefault="00EA4B77">
      <w:pPr>
        <w:pStyle w:val="Tekstfusnote"/>
      </w:pPr>
      <w:r>
        <w:t xml:space="preserve"> </w:t>
      </w:r>
      <w:hyperlink r:id="rId4" w:history="1">
        <w:r>
          <w:rPr>
            <w:rStyle w:val="Hiperveza"/>
            <w:rFonts w:ascii="Times New Roman" w:eastAsiaTheme="minorHAnsi" w:hAnsi="Times New Roman"/>
            <w:color w:val="0000FF"/>
            <w:sz w:val="16"/>
            <w:u w:val="single"/>
            <w:lang w:eastAsia="en-US"/>
          </w:rPr>
          <w:t>https://strukturnifondovi.hr/wp-content/uploads/2017/03/Strategija-EUROPA-2020.-hr.pdf</w:t>
        </w:r>
      </w:hyperlink>
      <w:r>
        <w:t xml:space="preserve"> </w:t>
      </w:r>
    </w:p>
  </w:footnote>
  <w:footnote w:id="10">
    <w:p w14:paraId="45D06244" w14:textId="77777777" w:rsidR="00EA4B77" w:rsidRDefault="00EA4B77">
      <w:pPr>
        <w:pStyle w:val="Tekstfusnote"/>
      </w:pPr>
      <w:r>
        <w:rPr>
          <w:rStyle w:val="Referencafusnote"/>
        </w:rPr>
        <w:footnoteRef/>
      </w:r>
      <w:r>
        <w:t xml:space="preserve"> Urbana agenda za EU, dostupno na: </w:t>
      </w:r>
      <w:hyperlink r:id="rId5" w:history="1">
        <w:r>
          <w:rPr>
            <w:rStyle w:val="Hiperveza"/>
            <w:rFonts w:ascii="Times New Roman" w:eastAsiaTheme="minorHAnsi" w:hAnsi="Times New Roman"/>
            <w:color w:val="0000FF"/>
            <w:sz w:val="16"/>
            <w:u w:val="single"/>
            <w:lang w:eastAsia="en-US"/>
          </w:rPr>
          <w:t>https://ec.europa.eu/futurium/en/urban-agenda</w:t>
        </w:r>
      </w:hyperlink>
      <w:r>
        <w:t xml:space="preserve"> </w:t>
      </w:r>
    </w:p>
  </w:footnote>
  <w:footnote w:id="11">
    <w:p w14:paraId="45D06245" w14:textId="77777777" w:rsidR="00EA4B77" w:rsidRDefault="00EA4B77">
      <w:pPr>
        <w:pStyle w:val="Tekstfusnote"/>
      </w:pPr>
      <w:r>
        <w:rPr>
          <w:rStyle w:val="Referencafusnote"/>
        </w:rPr>
        <w:footnoteRef/>
      </w:r>
      <w:r>
        <w:t xml:space="preserve"> Partnership on Circular Economy, Circular Economy Action Plan, dostupno na: </w:t>
      </w:r>
    </w:p>
    <w:p w14:paraId="45D06246" w14:textId="77777777" w:rsidR="00EA4B77" w:rsidRDefault="00EA4B77">
      <w:pPr>
        <w:pStyle w:val="Tekstfusnote"/>
      </w:pPr>
      <w:r>
        <w:t xml:space="preserve"> </w:t>
      </w:r>
      <w:r>
        <w:rPr>
          <w:rStyle w:val="Hiperveza"/>
          <w:rFonts w:ascii="Times New Roman" w:eastAsiaTheme="minorHAnsi" w:hAnsi="Times New Roman"/>
          <w:color w:val="0000FF"/>
          <w:sz w:val="16"/>
          <w:u w:val="single"/>
          <w:lang w:eastAsia="en-US"/>
        </w:rPr>
        <w:t>https://ec.europa.eu/futurium/en/system/files/ged/ua_ce_action_plan_30.11.2018_final.pdf</w:t>
      </w:r>
      <w:r>
        <w:t xml:space="preserve"> </w:t>
      </w:r>
    </w:p>
  </w:footnote>
  <w:footnote w:id="12">
    <w:p w14:paraId="45D06247" w14:textId="77777777" w:rsidR="00EA4B77" w:rsidRDefault="00EA4B77">
      <w:pPr>
        <w:pStyle w:val="Tekstfusnote"/>
        <w:rPr>
          <w:rStyle w:val="Hiperveza"/>
          <w:rFonts w:ascii="Times New Roman" w:eastAsiaTheme="minorHAnsi" w:hAnsi="Times New Roman"/>
          <w:color w:val="0000FF"/>
          <w:sz w:val="16"/>
          <w:u w:val="single"/>
          <w:lang w:eastAsia="en-US"/>
        </w:rPr>
      </w:pPr>
      <w:r>
        <w:rPr>
          <w:rStyle w:val="Referencafusnote"/>
        </w:rPr>
        <w:footnoteRef/>
      </w:r>
      <w:r>
        <w:t xml:space="preserve"> Teritorijalna agenda Europske unije 2020, dostupno na: </w:t>
      </w:r>
      <w:hyperlink r:id="rId6" w:history="1">
        <w:r>
          <w:rPr>
            <w:rStyle w:val="Hiperveza"/>
            <w:rFonts w:ascii="Times New Roman" w:eastAsiaTheme="minorHAnsi" w:hAnsi="Times New Roman"/>
            <w:color w:val="0000FF"/>
            <w:sz w:val="16"/>
            <w:u w:val="single"/>
            <w:lang w:eastAsia="en-US"/>
          </w:rPr>
          <w:t>https://ec.europa.eu/regional_policy/en/information/publications/communications/2011/territorial-agenda-of-the-european-union-2020</w:t>
        </w:r>
      </w:hyperlink>
    </w:p>
  </w:footnote>
  <w:footnote w:id="13">
    <w:p w14:paraId="45D06248" w14:textId="3A027713" w:rsidR="00EA4B77" w:rsidRPr="00993AFA" w:rsidRDefault="00EA4B77">
      <w:pPr>
        <w:pStyle w:val="Tekstfusnote"/>
        <w:rPr>
          <w:rStyle w:val="Hiperveza"/>
          <w:rFonts w:ascii="Times New Roman" w:eastAsiaTheme="minorHAnsi" w:hAnsi="Times New Roman"/>
          <w:color w:val="0000FF"/>
          <w:sz w:val="16"/>
          <w:u w:val="single"/>
          <w:lang w:eastAsia="en-US"/>
        </w:rPr>
      </w:pPr>
      <w:r>
        <w:rPr>
          <w:rStyle w:val="Referencafusnote"/>
        </w:rPr>
        <w:footnoteRef/>
      </w:r>
      <w:r>
        <w:t xml:space="preserve"> Teritorijalna agenda 2030, prosinac 2020., dostupno na: </w:t>
      </w:r>
      <w:hyperlink r:id="rId7" w:history="1">
        <w:r w:rsidRPr="00993AFA">
          <w:rPr>
            <w:rStyle w:val="Hiperveza"/>
            <w:rFonts w:ascii="Times New Roman" w:eastAsiaTheme="minorHAnsi" w:hAnsi="Times New Roman"/>
            <w:color w:val="0000FF"/>
            <w:sz w:val="16"/>
            <w:u w:val="single"/>
            <w:lang w:eastAsia="en-US"/>
          </w:rPr>
          <w:t>https://ec.europa.eu/regional_policy/en/information/publications/brochures/2021/territorial-agenda-2030-a-future-for-all-places</w:t>
        </w:r>
      </w:hyperlink>
      <w:hyperlink w:history="1"/>
    </w:p>
  </w:footnote>
  <w:footnote w:id="14">
    <w:p w14:paraId="34EC307B" w14:textId="459DF586" w:rsidR="00EA4B77" w:rsidRPr="00993AFA" w:rsidRDefault="00EA4B77">
      <w:pPr>
        <w:pStyle w:val="Tekstfusnote"/>
        <w:rPr>
          <w:rStyle w:val="Hiperveza"/>
          <w:rFonts w:ascii="Times New Roman" w:eastAsiaTheme="minorHAnsi" w:hAnsi="Times New Roman"/>
          <w:color w:val="0000FF"/>
          <w:sz w:val="16"/>
          <w:u w:val="single"/>
          <w:lang w:eastAsia="en-US"/>
        </w:rPr>
      </w:pPr>
      <w:r>
        <w:rPr>
          <w:rStyle w:val="Referencafusnote"/>
        </w:rPr>
        <w:footnoteRef/>
      </w:r>
      <w:r>
        <w:t xml:space="preserve"> </w:t>
      </w:r>
      <w:r w:rsidRPr="00FF0E17">
        <w:t xml:space="preserve">New Leipzig Charter- The transformative power of cities for the common good, studeni 2020., dostupno na: </w:t>
      </w:r>
      <w:hyperlink r:id="rId8" w:history="1">
        <w:r w:rsidRPr="00993AFA">
          <w:rPr>
            <w:rStyle w:val="Hiperveza"/>
            <w:rFonts w:ascii="Times New Roman" w:eastAsiaTheme="minorHAnsi" w:hAnsi="Times New Roman"/>
            <w:color w:val="0000FF"/>
            <w:sz w:val="16"/>
            <w:u w:val="single"/>
            <w:lang w:eastAsia="en-US"/>
          </w:rPr>
          <w:t>https://ec.europa.eu/regional_policy/en/information/publications/brochures/2020/new-leipzig-charter-the-transformative-power-of-cities-for-the-common-good</w:t>
        </w:r>
      </w:hyperlink>
      <w:r w:rsidRPr="00993AFA">
        <w:rPr>
          <w:rStyle w:val="Hiperveza"/>
          <w:rFonts w:ascii="Times New Roman" w:eastAsiaTheme="minorHAnsi" w:hAnsi="Times New Roman"/>
          <w:color w:val="0000FF"/>
          <w:sz w:val="16"/>
          <w:u w:val="single"/>
          <w:lang w:eastAsia="en-US"/>
        </w:rPr>
        <w:t xml:space="preserve"> </w:t>
      </w:r>
    </w:p>
  </w:footnote>
  <w:footnote w:id="15">
    <w:p w14:paraId="45D06249" w14:textId="77777777" w:rsidR="00EA4B77" w:rsidRDefault="00EA4B77">
      <w:pPr>
        <w:pStyle w:val="123456"/>
      </w:pPr>
      <w:r>
        <w:rPr>
          <w:rStyle w:val="Referencafusnote"/>
        </w:rPr>
        <w:footnoteRef/>
      </w:r>
      <w:r>
        <w:t xml:space="preserve"> Komunikacija Komisije Europskom parlamentu, Vijeću, Europskom gospodarskom i socijalnom odboru i Odboru regija: Zatvaranje kruga — akcijski plan EU-a za kružno gospodarstvo (COM(2015) 614 final) od 2.12.2015. godine, dostupno na: </w:t>
      </w:r>
    </w:p>
    <w:p w14:paraId="45D0624A" w14:textId="77777777" w:rsidR="00EA4B77" w:rsidRDefault="00EA4B77">
      <w:pPr>
        <w:pStyle w:val="Tekstfusnote"/>
      </w:pPr>
      <w:r>
        <w:t xml:space="preserve"> </w:t>
      </w:r>
      <w:hyperlink r:id="rId9" w:history="1">
        <w:r>
          <w:rPr>
            <w:rStyle w:val="Hiperveza"/>
            <w:rFonts w:ascii="Times New Roman" w:eastAsiaTheme="minorHAnsi" w:hAnsi="Times New Roman"/>
            <w:color w:val="0000FF"/>
            <w:sz w:val="16"/>
            <w:u w:val="single"/>
            <w:lang w:eastAsia="en-US"/>
          </w:rPr>
          <w:t>https://eur-lex.europa.eu/legal-content/HR/TXT/HTML/?uri=CELEX:52015DC0614&amp;from=HR</w:t>
        </w:r>
      </w:hyperlink>
      <w:r>
        <w:t xml:space="preserve"> </w:t>
      </w:r>
    </w:p>
  </w:footnote>
  <w:footnote w:id="16">
    <w:p w14:paraId="45D0624B" w14:textId="77777777" w:rsidR="00EA4B77" w:rsidRDefault="00EA4B77">
      <w:pPr>
        <w:pStyle w:val="Tekstfusnote"/>
      </w:pPr>
      <w:r>
        <w:rPr>
          <w:rStyle w:val="Referencafusnote"/>
        </w:rPr>
        <w:footnoteRef/>
      </w:r>
      <w:r>
        <w:t xml:space="preserve"> Komunikacija Komisije Europskom parlamentu, Vijeću, Europskom gospodarskom i socijalnom odboru i Odboru regija: Novi akcijski plan za kružno gospodarstvo - Za čišću i konkurentniju Europu (COM(2020) 98 final) od 11.3.2020. godine, dostupno na:  </w:t>
      </w:r>
    </w:p>
    <w:p w14:paraId="45D0624C" w14:textId="77777777" w:rsidR="00EA4B77" w:rsidRDefault="004A10C1">
      <w:pPr>
        <w:pStyle w:val="Tekstfusnote"/>
        <w:rPr>
          <w:rStyle w:val="Hiperveza"/>
          <w:rFonts w:ascii="Times New Roman" w:eastAsiaTheme="minorHAnsi" w:hAnsi="Times New Roman"/>
          <w:color w:val="0000FF"/>
          <w:sz w:val="16"/>
          <w:u w:val="single"/>
          <w:lang w:eastAsia="en-US"/>
        </w:rPr>
      </w:pPr>
      <w:hyperlink r:id="rId10" w:history="1">
        <w:r w:rsidR="00EA4B77" w:rsidRPr="004C49F8">
          <w:rPr>
            <w:rStyle w:val="Hiperveza"/>
            <w:rFonts w:ascii="Times New Roman" w:eastAsiaTheme="minorHAnsi" w:hAnsi="Times New Roman"/>
            <w:color w:val="0000FF"/>
            <w:sz w:val="16"/>
            <w:u w:val="single"/>
            <w:lang w:eastAsia="en-US"/>
          </w:rPr>
          <w:t>https://eur-lex.europa.eu/legal-content/HR/TXT/?qid=1585811887070&amp;uri=CELEX:52020DC0098</w:t>
        </w:r>
      </w:hyperlink>
      <w:r w:rsidR="00EA4B77">
        <w:rPr>
          <w:rStyle w:val="Hiperveza"/>
          <w:rFonts w:ascii="Times New Roman" w:eastAsiaTheme="minorHAnsi" w:hAnsi="Times New Roman"/>
          <w:color w:val="0000FF"/>
          <w:sz w:val="16"/>
          <w:u w:val="single"/>
          <w:lang w:eastAsia="en-US"/>
        </w:rPr>
        <w:t xml:space="preserve"> </w:t>
      </w:r>
    </w:p>
  </w:footnote>
  <w:footnote w:id="17">
    <w:p w14:paraId="45D0624D" w14:textId="77777777" w:rsidR="00EA4B77" w:rsidRDefault="00EA4B77">
      <w:pPr>
        <w:pStyle w:val="123456"/>
      </w:pPr>
      <w:r>
        <w:rPr>
          <w:rStyle w:val="Referencafusnote"/>
        </w:rPr>
        <w:footnoteRef/>
      </w:r>
      <w:r>
        <w:t xml:space="preserve"> </w:t>
      </w:r>
      <w:bookmarkStart w:id="29" w:name="_Hlk36840295"/>
      <w:r>
        <w:t xml:space="preserve">Level(s), dostupno na: </w:t>
      </w:r>
      <w:hyperlink r:id="rId11" w:history="1">
        <w:r>
          <w:rPr>
            <w:rStyle w:val="Hiperveza"/>
            <w:rFonts w:ascii="Times New Roman" w:eastAsiaTheme="minorHAnsi" w:hAnsi="Times New Roman"/>
            <w:color w:val="0000FF"/>
            <w:sz w:val="16"/>
            <w:u w:val="single"/>
            <w:lang w:eastAsia="en-US"/>
          </w:rPr>
          <w:t>https://ec.europa.eu/environment/eussd/buildings.htm</w:t>
        </w:r>
      </w:hyperlink>
      <w:bookmarkEnd w:id="29"/>
      <w:r>
        <w:t xml:space="preserve"> </w:t>
      </w:r>
    </w:p>
  </w:footnote>
  <w:footnote w:id="18">
    <w:p w14:paraId="45D0624E"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Komunikacija Komisije Europskom parlamentu i Vijeću: Strategija za održivu konkurentnost građevinskog sektora i poduzeća u tom sektoru</w:t>
      </w:r>
      <w:r>
        <w:rPr>
          <w:rFonts w:ascii="Times New Roman" w:hAnsi="Times New Roman"/>
          <w:sz w:val="16"/>
          <w:szCs w:val="16"/>
        </w:rPr>
        <w:t xml:space="preserve"> (COM(2012) 0433 final) od 31.7.2012. godine</w:t>
      </w:r>
      <w:r>
        <w:rPr>
          <w:rStyle w:val="Referencafusnote"/>
          <w:rFonts w:ascii="Times New Roman" w:hAnsi="Times New Roman"/>
          <w:sz w:val="16"/>
          <w:szCs w:val="16"/>
          <w:vertAlign w:val="baseline"/>
        </w:rPr>
        <w:t xml:space="preserve">, dostupno na: </w:t>
      </w:r>
      <w:hyperlink r:id="rId12" w:history="1">
        <w:r>
          <w:rPr>
            <w:rStyle w:val="Hiperveza"/>
            <w:rFonts w:ascii="Times New Roman" w:eastAsiaTheme="minorHAnsi" w:hAnsi="Times New Roman"/>
            <w:color w:val="0000FF"/>
            <w:sz w:val="16"/>
            <w:szCs w:val="16"/>
            <w:u w:val="single"/>
            <w:lang w:eastAsia="en-US"/>
          </w:rPr>
          <w:t>https://eur-lex.europa.eu/legal-content/EN/TXT/?uri=CELEX:52012DC0433</w:t>
        </w:r>
      </w:hyperlink>
    </w:p>
  </w:footnote>
  <w:footnote w:id="19">
    <w:p w14:paraId="45D0624F" w14:textId="77777777" w:rsidR="00EA4B77" w:rsidRDefault="00EA4B77">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Paket za čistu energiju za sve Europljane, dostupno na:</w:t>
      </w:r>
      <w:r>
        <w:rPr>
          <w:rStyle w:val="Referencafusnote"/>
          <w:rFonts w:ascii="Times New Roman" w:hAnsi="Times New Roman"/>
          <w:sz w:val="16"/>
          <w:szCs w:val="16"/>
        </w:rPr>
        <w:t xml:space="preserve"> </w:t>
      </w:r>
    </w:p>
    <w:p w14:paraId="45D06250"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vertAlign w:val="baseline"/>
        </w:rPr>
        <w:t xml:space="preserve"> </w:t>
      </w:r>
      <w:hyperlink r:id="rId13" w:history="1">
        <w:r>
          <w:rPr>
            <w:rStyle w:val="Hiperveza"/>
            <w:rFonts w:ascii="Times New Roman" w:eastAsiaTheme="minorHAnsi" w:hAnsi="Times New Roman"/>
            <w:color w:val="0000FF"/>
            <w:sz w:val="16"/>
            <w:szCs w:val="16"/>
            <w:u w:val="single"/>
            <w:lang w:eastAsia="en-US"/>
          </w:rPr>
          <w:t>https://ec.europa.eu/energy/en/topics/energy-strategy/clean-energy-all-europeans</w:t>
        </w:r>
      </w:hyperlink>
      <w:r>
        <w:rPr>
          <w:rFonts w:ascii="Times New Roman" w:hAnsi="Times New Roman"/>
          <w:sz w:val="16"/>
          <w:szCs w:val="16"/>
        </w:rPr>
        <w:t xml:space="preserve"> </w:t>
      </w:r>
    </w:p>
  </w:footnote>
  <w:footnote w:id="20">
    <w:p w14:paraId="45D06251" w14:textId="2DA9EEF7" w:rsidR="00EA4B77" w:rsidRDefault="00EA4B77">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E</w:t>
      </w:r>
      <w:r>
        <w:rPr>
          <w:rFonts w:ascii="Times New Roman" w:hAnsi="Times New Roman"/>
          <w:sz w:val="16"/>
          <w:szCs w:val="16"/>
        </w:rPr>
        <w:t>U</w:t>
      </w:r>
      <w:r>
        <w:rPr>
          <w:rStyle w:val="Referencafusnote"/>
          <w:rFonts w:ascii="Times New Roman" w:hAnsi="Times New Roman"/>
          <w:sz w:val="16"/>
          <w:szCs w:val="16"/>
          <w:vertAlign w:val="baseline"/>
        </w:rPr>
        <w:t xml:space="preserve"> protokol i Smjernice za gradnju i upravljanje građevnim otpadom, dostupno na:</w:t>
      </w:r>
      <w:r>
        <w:rPr>
          <w:rStyle w:val="Referencafusnote"/>
          <w:rFonts w:ascii="Times New Roman" w:hAnsi="Times New Roman"/>
          <w:sz w:val="16"/>
          <w:szCs w:val="16"/>
        </w:rPr>
        <w:t xml:space="preserve"> </w:t>
      </w:r>
    </w:p>
    <w:p w14:paraId="3194D3DC" w14:textId="3FFB0B1A" w:rsidR="00EA4B77" w:rsidRDefault="00EA4B77" w:rsidP="002E1EC7">
      <w:pPr>
        <w:spacing w:line="240" w:lineRule="auto"/>
        <w:jc w:val="left"/>
        <w:rPr>
          <w:rStyle w:val="Referencafusnote"/>
          <w:rFonts w:ascii="Times New Roman" w:eastAsiaTheme="minorHAnsi" w:hAnsi="Times New Roman"/>
          <w:sz w:val="16"/>
          <w:szCs w:val="16"/>
          <w:vertAlign w:val="baseline"/>
        </w:rPr>
      </w:pPr>
      <w:r>
        <w:rPr>
          <w:rStyle w:val="Referencafusnote"/>
          <w:rFonts w:ascii="Times New Roman" w:hAnsi="Times New Roman"/>
          <w:sz w:val="16"/>
          <w:szCs w:val="16"/>
          <w:vertAlign w:val="baseline"/>
        </w:rPr>
        <w:t xml:space="preserve"> </w:t>
      </w:r>
      <w:hyperlink r:id="rId14" w:history="1">
        <w:r>
          <w:rPr>
            <w:rStyle w:val="Hiperveza"/>
            <w:rFonts w:ascii="Times New Roman" w:eastAsiaTheme="minorHAnsi" w:hAnsi="Times New Roman"/>
            <w:color w:val="0000FF"/>
            <w:sz w:val="16"/>
            <w:szCs w:val="16"/>
            <w:u w:val="single"/>
            <w:lang w:eastAsia="en-US"/>
          </w:rPr>
          <w:t>https://ec.europa.eu/growth/content/eu-construction-and-demolition-waste-protocol-0_en</w:t>
        </w:r>
      </w:hyperlink>
    </w:p>
  </w:footnote>
  <w:footnote w:id="21">
    <w:p w14:paraId="45D06253" w14:textId="77777777" w:rsidR="00EA4B77" w:rsidRDefault="00EA4B77">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Principi kružnog gospodarenja u dizajna zgrada, dostupno na: </w:t>
      </w:r>
      <w:hyperlink r:id="rId15" w:history="1">
        <w:r>
          <w:rPr>
            <w:rStyle w:val="Hiperveza"/>
            <w:rFonts w:ascii="Times New Roman" w:eastAsiaTheme="minorHAnsi" w:hAnsi="Times New Roman"/>
            <w:color w:val="0000FF"/>
            <w:sz w:val="16"/>
            <w:szCs w:val="16"/>
            <w:u w:val="single"/>
            <w:lang w:eastAsia="en-US"/>
          </w:rPr>
          <w:t>https://ec.europa.eu/docsroom/documents/39984</w:t>
        </w:r>
      </w:hyperlink>
      <w:r>
        <w:rPr>
          <w:rStyle w:val="Hiperveza"/>
          <w:rFonts w:ascii="Times New Roman" w:eastAsiaTheme="minorHAnsi" w:hAnsi="Times New Roman"/>
          <w:color w:val="0000FF"/>
          <w:sz w:val="16"/>
          <w:u w:val="single"/>
          <w:lang w:eastAsia="en-US"/>
        </w:rPr>
        <w:t xml:space="preserve"> </w:t>
      </w:r>
    </w:p>
  </w:footnote>
  <w:footnote w:id="22">
    <w:p w14:paraId="45D06254" w14:textId="346F62A1" w:rsidR="00EA4B77" w:rsidRDefault="00EA4B77">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Direktiva 2012/27/EU Europskog parlamenta i Vijeća od 25. listopada 2012. o energetskoj učinkovitosti, izmjeni direktiva 2009/125/EZ i 2010/30/EU i stavljanju izvan snage direktiva 2004/8/EZ i 2006/32/EZ</w:t>
      </w:r>
      <w:r>
        <w:rPr>
          <w:rFonts w:ascii="Times New Roman" w:hAnsi="Times New Roman"/>
          <w:sz w:val="16"/>
          <w:szCs w:val="16"/>
        </w:rPr>
        <w:t xml:space="preserve"> (Tekst značajan za EGP)</w:t>
      </w:r>
      <w:r>
        <w:rPr>
          <w:rFonts w:ascii="Times New Roman" w:hAnsi="Times New Roman"/>
          <w:sz w:val="16"/>
          <w:szCs w:val="16"/>
          <w:vertAlign w:val="superscript"/>
        </w:rPr>
        <w:t xml:space="preserve"> </w:t>
      </w:r>
      <w:r>
        <w:rPr>
          <w:rFonts w:ascii="Times New Roman" w:hAnsi="Times New Roman"/>
          <w:sz w:val="16"/>
          <w:szCs w:val="16"/>
        </w:rPr>
        <w:t xml:space="preserve">(SL L 315, 14.11.2012.), </w:t>
      </w:r>
      <w:r>
        <w:rPr>
          <w:rStyle w:val="Referencafusnote"/>
          <w:rFonts w:ascii="Times New Roman" w:hAnsi="Times New Roman"/>
          <w:sz w:val="16"/>
          <w:szCs w:val="16"/>
          <w:vertAlign w:val="baseline"/>
        </w:rPr>
        <w:t>dostupno na:</w:t>
      </w:r>
      <w:r>
        <w:rPr>
          <w:rStyle w:val="Referencafusnote"/>
          <w:rFonts w:ascii="Times New Roman" w:hAnsi="Times New Roman"/>
          <w:sz w:val="16"/>
          <w:szCs w:val="16"/>
        </w:rPr>
        <w:t xml:space="preserve"> </w:t>
      </w:r>
    </w:p>
    <w:p w14:paraId="45D06255" w14:textId="77777777" w:rsidR="00EA4B77" w:rsidRDefault="00EA4B77">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https://eur-lex.europa.eu/legal-content/HR/TXT/PDF/?uri=CELEX:32012L0027&amp;from=EN</w:t>
      </w:r>
    </w:p>
  </w:footnote>
  <w:footnote w:id="23">
    <w:p w14:paraId="45D06256" w14:textId="77777777" w:rsidR="00EA4B77" w:rsidRDefault="00EA4B77">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Direktiva (EU) 2018/844  Europskog parlamenta i Vijeća od 30. svibnja 2018. o izmjeni Direktive 2010/31/EU o energetskim svojstvima zgrada i Direktive 2012/27/EU o energetskoj učinkovitosti</w:t>
      </w:r>
      <w:r>
        <w:rPr>
          <w:rFonts w:ascii="Times New Roman" w:hAnsi="Times New Roman"/>
          <w:sz w:val="16"/>
          <w:szCs w:val="16"/>
        </w:rPr>
        <w:t xml:space="preserve"> (Tekst značajan za EGP) </w:t>
      </w:r>
      <w:bookmarkStart w:id="33" w:name="_Hlk51248643"/>
      <w:r>
        <w:rPr>
          <w:rFonts w:ascii="Times New Roman" w:hAnsi="Times New Roman"/>
          <w:sz w:val="16"/>
          <w:szCs w:val="16"/>
        </w:rPr>
        <w:t>(SL L 156/75, 19.6.2018.)</w:t>
      </w:r>
      <w:bookmarkEnd w:id="33"/>
      <w:r>
        <w:rPr>
          <w:rFonts w:ascii="Times New Roman" w:hAnsi="Times New Roman"/>
          <w:sz w:val="16"/>
          <w:szCs w:val="16"/>
        </w:rPr>
        <w:t xml:space="preserve">, </w:t>
      </w:r>
      <w:r>
        <w:rPr>
          <w:rStyle w:val="Referencafusnote"/>
          <w:rFonts w:ascii="Times New Roman" w:hAnsi="Times New Roman"/>
          <w:sz w:val="16"/>
          <w:szCs w:val="16"/>
          <w:vertAlign w:val="baseline"/>
        </w:rPr>
        <w:t>dostupno na:</w:t>
      </w:r>
      <w:r>
        <w:rPr>
          <w:rStyle w:val="Referencafusnote"/>
          <w:rFonts w:ascii="Times New Roman" w:hAnsi="Times New Roman"/>
          <w:sz w:val="16"/>
          <w:szCs w:val="16"/>
        </w:rPr>
        <w:t xml:space="preserve"> </w:t>
      </w:r>
    </w:p>
    <w:p w14:paraId="45D06257" w14:textId="77777777" w:rsidR="00EA4B77" w:rsidRDefault="00EA4B77">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https://eur-lex.europa.eu/eli/dir/2018/844/oj?locale=hr</w:t>
      </w:r>
    </w:p>
  </w:footnote>
  <w:footnote w:id="24">
    <w:p w14:paraId="45D06258" w14:textId="77777777" w:rsidR="00EA4B77" w:rsidRDefault="00EA4B77">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Izvješće Komisije Europskom parlamentu, Vijeću, Europskom gospodarskom i socijalnom odboru, Europskom odboru regija i Europskoj investicijskoj banci:</w:t>
      </w:r>
      <w:r>
        <w:rPr>
          <w:rFonts w:ascii="Times New Roman" w:hAnsi="Times New Roman"/>
          <w:bCs/>
          <w:sz w:val="16"/>
          <w:szCs w:val="16"/>
        </w:rPr>
        <w:t xml:space="preserve"> Četvrto izvješće o stanju energetske unije (COM(2019) 175 final) od 9.4.2019. godine</w:t>
      </w:r>
      <w:r>
        <w:rPr>
          <w:rStyle w:val="Referencafusnote"/>
          <w:rFonts w:ascii="Times New Roman" w:hAnsi="Times New Roman"/>
          <w:sz w:val="16"/>
          <w:szCs w:val="16"/>
          <w:vertAlign w:val="baseline"/>
        </w:rPr>
        <w:t xml:space="preserve">, dostupno na: </w:t>
      </w:r>
    </w:p>
    <w:p w14:paraId="45D06259" w14:textId="77777777" w:rsidR="00EA4B77" w:rsidRDefault="004A10C1">
      <w:pPr>
        <w:spacing w:line="240" w:lineRule="auto"/>
        <w:jc w:val="left"/>
        <w:rPr>
          <w:rStyle w:val="Referencafusnote"/>
          <w:rFonts w:ascii="Times New Roman" w:hAnsi="Times New Roman"/>
          <w:sz w:val="16"/>
          <w:szCs w:val="16"/>
        </w:rPr>
      </w:pPr>
      <w:hyperlink r:id="rId16" w:history="1">
        <w:r w:rsidR="00EA4B77">
          <w:rPr>
            <w:rStyle w:val="Hiperveza"/>
            <w:rFonts w:ascii="Times New Roman" w:eastAsiaTheme="minorHAnsi" w:hAnsi="Times New Roman"/>
            <w:color w:val="0000FF"/>
            <w:sz w:val="16"/>
            <w:u w:val="single"/>
            <w:lang w:eastAsia="en-US"/>
          </w:rPr>
          <w:t>https://ec.europa.eu/transparency/regdoc/rep/1/2019/HR/COM-2019-175-F1-HR-MAIN-PART-1.PDF</w:t>
        </w:r>
      </w:hyperlink>
      <w:r w:rsidR="00EA4B77">
        <w:rPr>
          <w:rFonts w:ascii="Times New Roman" w:hAnsi="Times New Roman"/>
          <w:sz w:val="16"/>
          <w:szCs w:val="16"/>
        </w:rPr>
        <w:t xml:space="preserve"> </w:t>
      </w:r>
    </w:p>
  </w:footnote>
  <w:footnote w:id="25">
    <w:p w14:paraId="54C4FD2A" w14:textId="77777777" w:rsidR="00EA4B77" w:rsidRPr="004C49F8" w:rsidRDefault="00EA4B77" w:rsidP="004C49F8">
      <w:pPr>
        <w:pStyle w:val="Tekstfusnote"/>
        <w:rPr>
          <w:rStyle w:val="Hiperveza"/>
          <w:rFonts w:ascii="Times New Roman" w:eastAsiaTheme="minorHAnsi" w:hAnsi="Times New Roman"/>
          <w:color w:val="0000FF"/>
          <w:sz w:val="16"/>
          <w:szCs w:val="24"/>
          <w:u w:val="single"/>
          <w:lang w:eastAsia="en-US"/>
        </w:rPr>
      </w:pPr>
      <w:r w:rsidRPr="0083776B">
        <w:rPr>
          <w:rStyle w:val="Referencafusnote"/>
        </w:rPr>
        <w:footnoteRef/>
      </w:r>
      <w:r w:rsidRPr="0083776B">
        <w:t xml:space="preserve"> Uredba </w:t>
      </w:r>
      <w:r>
        <w:t xml:space="preserve">(EU) 2021/1058 </w:t>
      </w:r>
      <w:r w:rsidRPr="0083776B">
        <w:t xml:space="preserve">Europskog Parlamenta i Vijeća </w:t>
      </w:r>
      <w:r>
        <w:t xml:space="preserve">od </w:t>
      </w:r>
      <w:r w:rsidRPr="00DE79D4">
        <w:t xml:space="preserve">24. lipnja 2021. godine </w:t>
      </w:r>
      <w:r w:rsidRPr="00105F8A">
        <w:t xml:space="preserve">o Europskom fondu za regionalni razvoj i Kohezijskom fondu (Službeni list Europske unije L 231/60), dostupno na: </w:t>
      </w:r>
      <w:hyperlink r:id="rId17" w:history="1">
        <w:r w:rsidRPr="004C49F8">
          <w:rPr>
            <w:rStyle w:val="Hiperveza"/>
            <w:rFonts w:ascii="Times New Roman" w:eastAsiaTheme="minorHAnsi" w:hAnsi="Times New Roman"/>
            <w:color w:val="0000FF"/>
            <w:sz w:val="16"/>
            <w:szCs w:val="24"/>
            <w:u w:val="single"/>
            <w:lang w:eastAsia="en-US"/>
          </w:rPr>
          <w:t>https://eur-lex.europa.eu/legal-content/HR/TXT/HTML/?uri=CELEX:32021R1058&amp;qid=1631867395170&amp;from=EN</w:t>
        </w:r>
      </w:hyperlink>
      <w:r w:rsidRPr="004C49F8">
        <w:rPr>
          <w:rStyle w:val="Hiperveza"/>
          <w:rFonts w:ascii="Times New Roman" w:eastAsiaTheme="minorHAnsi" w:hAnsi="Times New Roman"/>
          <w:color w:val="0000FF"/>
          <w:sz w:val="16"/>
          <w:szCs w:val="24"/>
          <w:u w:val="single"/>
          <w:lang w:eastAsia="en-US"/>
        </w:rPr>
        <w:t xml:space="preserve"> </w:t>
      </w:r>
    </w:p>
  </w:footnote>
  <w:footnote w:id="26">
    <w:p w14:paraId="15E30F3D" w14:textId="1D37ABA8" w:rsidR="00EA4B77" w:rsidRPr="00D61C29" w:rsidRDefault="00EA4B77">
      <w:pPr>
        <w:pStyle w:val="Tekstfusnote"/>
        <w:rPr>
          <w:rStyle w:val="Hiperveza"/>
          <w:rFonts w:ascii="Times New Roman" w:eastAsiaTheme="minorHAnsi" w:hAnsi="Times New Roman"/>
          <w:color w:val="0000FF"/>
          <w:sz w:val="16"/>
          <w:szCs w:val="24"/>
          <w:u w:val="single"/>
          <w:lang w:eastAsia="en-US"/>
        </w:rPr>
      </w:pPr>
      <w:r>
        <w:rPr>
          <w:rStyle w:val="Referencafusnote"/>
        </w:rPr>
        <w:footnoteRef/>
      </w:r>
      <w:r>
        <w:t xml:space="preserve"> ESPON </w:t>
      </w:r>
      <w:r w:rsidRPr="00D61C29">
        <w:t>Policy Brief - Reuse of spaces and buildings</w:t>
      </w:r>
      <w:r w:rsidRPr="00D82F23">
        <w:t xml:space="preserve">, </w:t>
      </w:r>
      <w:r>
        <w:t>dostupno</w:t>
      </w:r>
      <w:r w:rsidRPr="00D82F23">
        <w:t xml:space="preserve"> na: </w:t>
      </w:r>
      <w:hyperlink r:id="rId18" w:history="1">
        <w:r w:rsidRPr="00D61C29">
          <w:rPr>
            <w:rStyle w:val="Hiperveza"/>
            <w:rFonts w:ascii="Times New Roman" w:eastAsiaTheme="minorHAnsi" w:hAnsi="Times New Roman"/>
            <w:color w:val="0000FF"/>
            <w:sz w:val="16"/>
            <w:szCs w:val="24"/>
            <w:u w:val="single"/>
            <w:lang w:eastAsia="en-US"/>
          </w:rPr>
          <w:t>https://ec.europa.eu/futurium/en/culturecultural-heritage/espon-policy-brief-reuse-spaces-and-buildings.html</w:t>
        </w:r>
      </w:hyperlink>
    </w:p>
  </w:footnote>
  <w:footnote w:id="27">
    <w:p w14:paraId="45D0625C" w14:textId="33A481C9" w:rsidR="00EA4B77" w:rsidRDefault="00EA4B77">
      <w:pPr>
        <w:spacing w:line="240" w:lineRule="auto"/>
        <w:jc w:val="left"/>
        <w:rPr>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Zakon o gradnji (NN 153/13, 20/17, 39/19 i 125/19)</w:t>
      </w:r>
    </w:p>
  </w:footnote>
  <w:footnote w:id="28">
    <w:p w14:paraId="45D0625E" w14:textId="43182642" w:rsidR="00EA4B77" w:rsidRDefault="00EA4B77" w:rsidP="006D542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Zakon o sustavu strateškog planiranja i upravljanja razvojem Republike Hrvatske (NN 123/17)</w:t>
      </w:r>
    </w:p>
  </w:footnote>
  <w:footnote w:id="29">
    <w:p w14:paraId="45D0625F" w14:textId="77777777" w:rsidR="00EA4B77" w:rsidRDefault="00EA4B77">
      <w:pPr>
        <w:pStyle w:val="Tekstfusnote"/>
      </w:pPr>
      <w:r>
        <w:rPr>
          <w:rStyle w:val="Referencafusnote"/>
        </w:rPr>
        <w:footnoteRef/>
      </w:r>
      <w:r>
        <w:t xml:space="preserve"> Nacionalna razvojna strategija Republike Hrvatske do 2030. godine (NN 13/2021), dostupno na:</w:t>
      </w:r>
      <w:r>
        <w:br/>
      </w:r>
      <w:hyperlink r:id="rId19" w:history="1">
        <w:r>
          <w:rPr>
            <w:rStyle w:val="Hiperveza"/>
            <w:rFonts w:ascii="Times New Roman" w:eastAsiaTheme="minorHAnsi" w:hAnsi="Times New Roman"/>
            <w:color w:val="0000FF"/>
            <w:sz w:val="16"/>
            <w:szCs w:val="24"/>
            <w:u w:val="single"/>
            <w:lang w:eastAsia="en-US"/>
          </w:rPr>
          <w:t>https://narodne-novine.nn.hr/clanci/sluzbeni/2021_02_13_230.html</w:t>
        </w:r>
      </w:hyperlink>
      <w:r>
        <w:t xml:space="preserve"> </w:t>
      </w:r>
    </w:p>
  </w:footnote>
  <w:footnote w:id="30">
    <w:p w14:paraId="45D06260" w14:textId="35D052C3"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Uredba o smjernicama za izradu akata strateškog planiranja od nacionalnog značaja i od značaja za jedinice lokalne i područne (regionalne) samouprave (NN 89/18)</w:t>
      </w:r>
    </w:p>
  </w:footnote>
  <w:footnote w:id="31">
    <w:p w14:paraId="45D06261" w14:textId="5ABEAF61"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rokovima i postupcima praćenja i izvještavanja o provedbi akata strateškog planiranja od nacionalnog značaja i od značaja za jedinice lokalne i područne (regionalne) samouprave (NN 6/19)</w:t>
      </w:r>
    </w:p>
  </w:footnote>
  <w:footnote w:id="32">
    <w:p w14:paraId="45D06262" w14:textId="18C743E2"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Integrirani nacionalni energetski i klimatski plan za R</w:t>
      </w:r>
      <w:r>
        <w:rPr>
          <w:rFonts w:ascii="Times New Roman" w:hAnsi="Times New Roman"/>
          <w:sz w:val="16"/>
          <w:szCs w:val="16"/>
        </w:rPr>
        <w:t>epubliku Hrvatsku</w:t>
      </w:r>
      <w:r>
        <w:rPr>
          <w:rStyle w:val="Referencafusnote"/>
          <w:rFonts w:ascii="Times New Roman" w:hAnsi="Times New Roman"/>
          <w:sz w:val="16"/>
          <w:szCs w:val="16"/>
          <w:vertAlign w:val="baseline"/>
        </w:rPr>
        <w:t xml:space="preserve"> za razdoblje</w:t>
      </w:r>
      <w:r>
        <w:rPr>
          <w:rFonts w:ascii="Times New Roman" w:hAnsi="Times New Roman"/>
          <w:sz w:val="16"/>
          <w:szCs w:val="16"/>
        </w:rPr>
        <w:t xml:space="preserve"> od</w:t>
      </w:r>
      <w:r>
        <w:rPr>
          <w:rStyle w:val="Referencafusnote"/>
          <w:rFonts w:ascii="Times New Roman" w:hAnsi="Times New Roman"/>
          <w:sz w:val="16"/>
          <w:szCs w:val="16"/>
          <w:vertAlign w:val="baseline"/>
        </w:rPr>
        <w:t xml:space="preserve"> 2021. do 2030.</w:t>
      </w:r>
      <w:r>
        <w:rPr>
          <w:rFonts w:ascii="Times New Roman" w:hAnsi="Times New Roman"/>
          <w:sz w:val="16"/>
          <w:szCs w:val="16"/>
        </w:rPr>
        <w:t>,</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prosinac 2019., </w:t>
      </w:r>
      <w:r>
        <w:rPr>
          <w:rStyle w:val="Referencafusnote"/>
          <w:rFonts w:ascii="Times New Roman" w:hAnsi="Times New Roman"/>
          <w:sz w:val="16"/>
          <w:szCs w:val="16"/>
          <w:vertAlign w:val="baseline"/>
        </w:rPr>
        <w:t>dostupno na:</w:t>
      </w:r>
    </w:p>
    <w:p w14:paraId="45D06263" w14:textId="77777777" w:rsidR="00EA4B77" w:rsidRDefault="004A10C1">
      <w:pPr>
        <w:spacing w:line="240" w:lineRule="auto"/>
        <w:jc w:val="left"/>
        <w:rPr>
          <w:sz w:val="16"/>
          <w:szCs w:val="16"/>
        </w:rPr>
      </w:pPr>
      <w:hyperlink r:id="rId20" w:history="1">
        <w:r w:rsidR="00EA4B77">
          <w:rPr>
            <w:rStyle w:val="Hiperveza"/>
            <w:rFonts w:ascii="Times New Roman" w:eastAsiaTheme="minorHAnsi" w:hAnsi="Times New Roman"/>
            <w:color w:val="0000FF"/>
            <w:sz w:val="16"/>
            <w:u w:val="single"/>
            <w:lang w:eastAsia="en-US"/>
          </w:rPr>
          <w:t>https://ec.europa.eu/energy/sites/ener/files/documents/hr_final_necp_main_hr.pdf</w:t>
        </w:r>
      </w:hyperlink>
      <w:r w:rsidR="00EA4B77">
        <w:rPr>
          <w:rFonts w:ascii="Times New Roman" w:hAnsi="Times New Roman"/>
          <w:sz w:val="16"/>
          <w:szCs w:val="16"/>
        </w:rPr>
        <w:t xml:space="preserve"> </w:t>
      </w:r>
    </w:p>
  </w:footnote>
  <w:footnote w:id="33">
    <w:p w14:paraId="45D06264" w14:textId="77777777"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Četvrti nacionalni akcijski plan energetske učinkovitosti</w:t>
      </w:r>
      <w:r>
        <w:rPr>
          <w:rFonts w:ascii="Times New Roman" w:hAnsi="Times New Roman"/>
          <w:sz w:val="16"/>
          <w:szCs w:val="16"/>
        </w:rPr>
        <w:t xml:space="preserve"> za razdoblje do kraja 2019. godine</w:t>
      </w:r>
      <w:r>
        <w:rPr>
          <w:rStyle w:val="Referencafusnote"/>
          <w:rFonts w:ascii="Times New Roman" w:hAnsi="Times New Roman"/>
          <w:sz w:val="16"/>
          <w:szCs w:val="16"/>
          <w:vertAlign w:val="baseline"/>
        </w:rPr>
        <w:t>, dostupno na:</w:t>
      </w:r>
      <w:r>
        <w:rPr>
          <w:rStyle w:val="Hiperveza"/>
          <w:rFonts w:ascii="Times New Roman" w:eastAsiaTheme="minorHAnsi" w:hAnsi="Times New Roman"/>
          <w:color w:val="0000FF"/>
          <w:sz w:val="16"/>
          <w:u w:val="single"/>
          <w:lang w:eastAsia="en-US"/>
        </w:rPr>
        <w:t xml:space="preserve"> </w:t>
      </w:r>
    </w:p>
    <w:p w14:paraId="45D06265" w14:textId="77777777"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Hiperveza"/>
          <w:rFonts w:ascii="Times New Roman" w:eastAsiaTheme="minorHAnsi" w:hAnsi="Times New Roman"/>
          <w:color w:val="0000FF"/>
          <w:sz w:val="16"/>
          <w:u w:val="single"/>
          <w:lang w:eastAsia="en-US"/>
        </w:rPr>
        <w:t>https://mzoe.gov.hr/djelokrug-4925/energetika/energetska-trzista-i-infrastruktura/energetski-zakoni/energetska-ucinkovitost-2023/2023</w:t>
      </w:r>
      <w:r>
        <w:t xml:space="preserve"> </w:t>
      </w:r>
    </w:p>
  </w:footnote>
  <w:footnote w:id="34">
    <w:p w14:paraId="45D06266"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Energetska obnova zgrada, dostupno na:</w:t>
      </w:r>
    </w:p>
    <w:p w14:paraId="45D06267" w14:textId="77777777" w:rsidR="00EA4B77" w:rsidRDefault="00EA4B77">
      <w:pPr>
        <w:spacing w:line="240" w:lineRule="auto"/>
        <w:jc w:val="left"/>
        <w:rPr>
          <w:sz w:val="16"/>
          <w:szCs w:val="16"/>
        </w:rPr>
      </w:pPr>
      <w:r>
        <w:rPr>
          <w:rStyle w:val="Hiperveza"/>
          <w:rFonts w:ascii="Times New Roman" w:eastAsiaTheme="minorHAnsi" w:hAnsi="Times New Roman"/>
          <w:color w:val="0000FF"/>
          <w:sz w:val="16"/>
          <w:u w:val="single"/>
          <w:lang w:eastAsia="en-US"/>
        </w:rPr>
        <w:t xml:space="preserve"> </w:t>
      </w:r>
      <w:hyperlink r:id="rId21" w:history="1">
        <w:r>
          <w:rPr>
            <w:rStyle w:val="Hiperveza"/>
            <w:rFonts w:ascii="Times New Roman" w:eastAsiaTheme="minorHAnsi" w:hAnsi="Times New Roman"/>
            <w:color w:val="0000FF"/>
            <w:sz w:val="16"/>
            <w:u w:val="single"/>
            <w:lang w:eastAsia="en-US"/>
          </w:rPr>
          <w:t>https://mgipu.gov.hr/o-ministarstvu-15/djelokrug/energetska-ucinkovitost-u-zgradarstvu/energetska-obnova-zgrada-8321/8321</w:t>
        </w:r>
      </w:hyperlink>
      <w:r>
        <w:rPr>
          <w:rFonts w:ascii="Times New Roman" w:hAnsi="Times New Roman"/>
          <w:sz w:val="16"/>
          <w:szCs w:val="16"/>
        </w:rPr>
        <w:t xml:space="preserve"> </w:t>
      </w:r>
    </w:p>
  </w:footnote>
  <w:footnote w:id="35">
    <w:p w14:paraId="45D06268" w14:textId="77777777" w:rsidR="00EA4B77" w:rsidRDefault="00EA4B77">
      <w:pPr>
        <w:pStyle w:val="Tekstfusnote"/>
      </w:pPr>
      <w:r>
        <w:rPr>
          <w:rStyle w:val="Referencafusnote"/>
        </w:rPr>
        <w:footnoteRef/>
      </w:r>
      <w:r>
        <w:t xml:space="preserve"> Dugoročna strategija obnove nacionalnog fonda zgrada do 2050. godine (NN 140/2020), dostupno na:</w:t>
      </w:r>
      <w:r>
        <w:br/>
      </w:r>
      <w:hyperlink r:id="rId22" w:history="1">
        <w:r>
          <w:rPr>
            <w:rStyle w:val="Hiperveza"/>
            <w:rFonts w:ascii="Times New Roman" w:eastAsiaTheme="minorHAnsi" w:hAnsi="Times New Roman"/>
            <w:color w:val="0000FF"/>
            <w:sz w:val="16"/>
            <w:szCs w:val="24"/>
            <w:u w:val="single"/>
            <w:lang w:eastAsia="en-US"/>
          </w:rPr>
          <w:t>https://mgipu.gov.hr/UserDocsImages/dokumenti/EnergetskaUcinkovitost/DSO_14.12.2020.pdf</w:t>
        </w:r>
      </w:hyperlink>
      <w:r>
        <w:t xml:space="preserve"> </w:t>
      </w:r>
    </w:p>
  </w:footnote>
  <w:footnote w:id="36">
    <w:p w14:paraId="45D06269" w14:textId="52A4DC6D" w:rsidR="00EA4B77" w:rsidRPr="00BF2CE3" w:rsidRDefault="00EA4B77">
      <w:pPr>
        <w:spacing w:line="240" w:lineRule="auto"/>
        <w:ind w:left="142" w:hanging="142"/>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vertAlign w:val="baseline"/>
        </w:rPr>
        <w:t>Izvješće o stanju u prostoru Republike Hrvatske 201</w:t>
      </w:r>
      <w:r>
        <w:rPr>
          <w:rFonts w:ascii="Times New Roman" w:hAnsi="Times New Roman"/>
          <w:sz w:val="16"/>
          <w:szCs w:val="16"/>
        </w:rPr>
        <w:t>3</w:t>
      </w:r>
      <w:r>
        <w:rPr>
          <w:rStyle w:val="Referencafusnote"/>
          <w:rFonts w:ascii="Times New Roman" w:hAnsi="Times New Roman"/>
          <w:sz w:val="16"/>
          <w:szCs w:val="16"/>
          <w:vertAlign w:val="baseline"/>
        </w:rPr>
        <w:t>.-201</w:t>
      </w:r>
      <w:r>
        <w:rPr>
          <w:rFonts w:ascii="Times New Roman" w:hAnsi="Times New Roman"/>
          <w:sz w:val="16"/>
          <w:szCs w:val="16"/>
        </w:rPr>
        <w:t>9</w:t>
      </w:r>
      <w:r>
        <w:rPr>
          <w:rStyle w:val="Referencafusnote"/>
          <w:rFonts w:ascii="Times New Roman" w:hAnsi="Times New Roman"/>
          <w:sz w:val="16"/>
          <w:szCs w:val="16"/>
          <w:vertAlign w:val="baseline"/>
        </w:rPr>
        <w:t>., dostupno na:</w:t>
      </w:r>
      <w:r>
        <w:rPr>
          <w:rFonts w:ascii="Times New Roman" w:hAnsi="Times New Roman"/>
          <w:sz w:val="16"/>
          <w:szCs w:val="16"/>
        </w:rPr>
        <w:t xml:space="preserve"> </w:t>
      </w:r>
      <w:hyperlink r:id="rId23" w:history="1">
        <w:r w:rsidRPr="00BF2CE3">
          <w:rPr>
            <w:rStyle w:val="Hiperveza"/>
            <w:rFonts w:ascii="Times New Roman" w:eastAsiaTheme="minorHAnsi" w:hAnsi="Times New Roman"/>
            <w:color w:val="0000FF"/>
            <w:sz w:val="16"/>
            <w:u w:val="single"/>
            <w:lang w:eastAsia="en-US"/>
          </w:rPr>
          <w:t>https://sabor.hr/sites/default/files/uploads/sabor/2021-02-25/154403/IZVJ_STANJE_U_PROSTORU_RH_2013-2019.pdf</w:t>
        </w:r>
      </w:hyperlink>
      <w:r w:rsidRPr="00BF2CE3">
        <w:rPr>
          <w:rStyle w:val="Hiperveza"/>
          <w:rFonts w:ascii="Times New Roman" w:eastAsiaTheme="minorHAnsi" w:hAnsi="Times New Roman"/>
          <w:color w:val="0000FF"/>
          <w:sz w:val="16"/>
          <w:u w:val="single"/>
          <w:lang w:eastAsia="en-US"/>
        </w:rPr>
        <w:t xml:space="preserve"> </w:t>
      </w:r>
    </w:p>
  </w:footnote>
  <w:footnote w:id="37">
    <w:p w14:paraId="45D0626A" w14:textId="77777777"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Fonts w:ascii="Times New Roman" w:hAnsi="Times New Roman"/>
          <w:sz w:val="16"/>
          <w:szCs w:val="16"/>
        </w:rPr>
        <w:t xml:space="preserve"> Podaci o energetskoj obnovi zgrada Ministarstva prostornoga uređenja, graditeljstva i državne imovine, </w:t>
      </w:r>
      <w:r>
        <w:rPr>
          <w:rStyle w:val="Referencafusnote"/>
          <w:rFonts w:ascii="Times New Roman" w:hAnsi="Times New Roman"/>
          <w:sz w:val="16"/>
          <w:szCs w:val="16"/>
          <w:vertAlign w:val="baseline"/>
        </w:rPr>
        <w:t xml:space="preserve">dostupno na: </w:t>
      </w:r>
      <w:hyperlink r:id="rId24" w:history="1">
        <w:r>
          <w:rPr>
            <w:rStyle w:val="Hiperveza"/>
            <w:rFonts w:ascii="Times New Roman" w:eastAsiaTheme="minorHAnsi" w:hAnsi="Times New Roman"/>
            <w:color w:val="0000FF"/>
            <w:sz w:val="16"/>
            <w:u w:val="single"/>
            <w:lang w:eastAsia="en-US"/>
          </w:rPr>
          <w:t>https://mgipu.gov.hr/</w:t>
        </w:r>
      </w:hyperlink>
      <w:r>
        <w:rPr>
          <w:rStyle w:val="Hiperveza"/>
          <w:rFonts w:ascii="Times New Roman" w:eastAsiaTheme="minorHAnsi" w:hAnsi="Times New Roman"/>
          <w:color w:val="0000FF"/>
          <w:sz w:val="16"/>
          <w:u w:val="single"/>
          <w:lang w:eastAsia="en-US"/>
        </w:rPr>
        <w:t xml:space="preserve"> </w:t>
      </w:r>
    </w:p>
  </w:footnote>
  <w:footnote w:id="38">
    <w:p w14:paraId="45D0626B"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 xml:space="preserve">Informacijski sustav prostornog uređenja, </w:t>
      </w:r>
      <w:r>
        <w:rPr>
          <w:rStyle w:val="Referencafusnote"/>
          <w:rFonts w:ascii="Times New Roman" w:hAnsi="Times New Roman"/>
          <w:sz w:val="16"/>
          <w:szCs w:val="16"/>
          <w:vertAlign w:val="baseline"/>
        </w:rPr>
        <w:t xml:space="preserve">dostupno na: </w:t>
      </w:r>
      <w:hyperlink r:id="rId25" w:history="1">
        <w:r>
          <w:rPr>
            <w:rStyle w:val="Hiperveza"/>
            <w:rFonts w:ascii="Times New Roman" w:eastAsiaTheme="minorHAnsi" w:hAnsi="Times New Roman"/>
            <w:color w:val="0000FF"/>
            <w:sz w:val="16"/>
            <w:u w:val="single"/>
            <w:lang w:eastAsia="en-US"/>
          </w:rPr>
          <w:t>https://ispu.mgipu.hr/</w:t>
        </w:r>
      </w:hyperlink>
      <w:r>
        <w:rPr>
          <w:rStyle w:val="Referencafusnote"/>
          <w:rFonts w:ascii="Times New Roman" w:hAnsi="Times New Roman"/>
          <w:sz w:val="16"/>
          <w:szCs w:val="16"/>
          <w:vertAlign w:val="baseline"/>
        </w:rPr>
        <w:t xml:space="preserve"> </w:t>
      </w:r>
    </w:p>
  </w:footnote>
  <w:footnote w:id="39">
    <w:p w14:paraId="45D0626C"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Fonts w:ascii="Times New Roman" w:hAnsi="Times New Roman"/>
          <w:sz w:val="16"/>
          <w:szCs w:val="16"/>
        </w:rPr>
        <w:t xml:space="preserve"> Državni zavod za statistiku, </w:t>
      </w:r>
      <w:r>
        <w:rPr>
          <w:rStyle w:val="Referencafusnote"/>
          <w:rFonts w:ascii="Times New Roman" w:hAnsi="Times New Roman"/>
          <w:sz w:val="16"/>
          <w:szCs w:val="16"/>
          <w:vertAlign w:val="baseline"/>
        </w:rPr>
        <w:t xml:space="preserve">dostupno na: </w:t>
      </w:r>
      <w:hyperlink r:id="rId26" w:history="1">
        <w:r>
          <w:rPr>
            <w:rStyle w:val="Hiperveza"/>
            <w:rFonts w:ascii="Times New Roman" w:eastAsiaTheme="minorHAnsi" w:hAnsi="Times New Roman"/>
            <w:color w:val="0000FF"/>
            <w:sz w:val="16"/>
            <w:u w:val="single"/>
            <w:lang w:eastAsia="en-US"/>
          </w:rPr>
          <w:t>https://www.dzs.hr/</w:t>
        </w:r>
      </w:hyperlink>
      <w:r>
        <w:rPr>
          <w:rStyle w:val="Hiperveza"/>
          <w:rFonts w:ascii="Times New Roman" w:eastAsiaTheme="minorHAnsi" w:hAnsi="Times New Roman"/>
          <w:color w:val="0000FF"/>
          <w:sz w:val="16"/>
          <w:u w:val="single"/>
          <w:lang w:eastAsia="en-US"/>
        </w:rPr>
        <w:t xml:space="preserve"> </w:t>
      </w:r>
    </w:p>
  </w:footnote>
  <w:footnote w:id="40">
    <w:p w14:paraId="45D0626D" w14:textId="77777777"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Konferencija" Zelena budućnost grada"</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hyperlink r:id="rId27" w:history="1">
        <w:r>
          <w:rPr>
            <w:rStyle w:val="Hiperveza"/>
            <w:rFonts w:ascii="Times New Roman" w:eastAsiaTheme="minorHAnsi" w:hAnsi="Times New Roman"/>
            <w:color w:val="0000FF"/>
            <w:sz w:val="16"/>
            <w:u w:val="single"/>
            <w:lang w:eastAsia="en-US"/>
          </w:rPr>
          <w:t>https://mgipu.gov.hr/vijesti/u-zagrebu-odrzana-konferencija-zelena-buducnost-grada/10428</w:t>
        </w:r>
      </w:hyperlink>
    </w:p>
  </w:footnote>
  <w:footnote w:id="41">
    <w:p w14:paraId="45D0626E" w14:textId="77777777" w:rsidR="00EA4B77" w:rsidRDefault="00EA4B77">
      <w:pPr>
        <w:spacing w:line="240" w:lineRule="auto"/>
        <w:jc w:val="left"/>
        <w:rPr>
          <w:rFonts w:ascii="Times New Roman" w:hAnsi="Times New Roman"/>
          <w:sz w:val="16"/>
          <w:szCs w:val="16"/>
        </w:rPr>
      </w:pPr>
      <w:bookmarkStart w:id="39" w:name="_Hlk36840274"/>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Arhitektonski fakultet Sveučilišta u Zagrebu, 2019., Anketni upitnik / ZELENA INFRASTRUKTURA U URBANIM PODRUČJIMA I KRUŽNO GOSPODARENJE PROSTOROM I ZGRADAMA REPUBLIKE HRVATSKE /, dostupno na: </w:t>
      </w:r>
    </w:p>
    <w:p w14:paraId="45D0626F" w14:textId="77777777" w:rsidR="00EA4B77" w:rsidRDefault="004A10C1">
      <w:pPr>
        <w:spacing w:line="240" w:lineRule="auto"/>
        <w:jc w:val="left"/>
        <w:rPr>
          <w:rStyle w:val="Referencafusnote"/>
          <w:rFonts w:ascii="Times New Roman" w:hAnsi="Times New Roman"/>
          <w:sz w:val="18"/>
          <w:szCs w:val="18"/>
          <w:vertAlign w:val="baseline"/>
        </w:rPr>
      </w:pPr>
      <w:hyperlink r:id="rId28" w:history="1">
        <w:r w:rsidR="00EA4B77">
          <w:rPr>
            <w:rStyle w:val="Hiperveza"/>
            <w:rFonts w:ascii="Times New Roman" w:eastAsiaTheme="minorHAnsi" w:hAnsi="Times New Roman"/>
            <w:color w:val="0000FF"/>
            <w:sz w:val="16"/>
            <w:u w:val="single"/>
            <w:lang w:eastAsia="en-US"/>
          </w:rPr>
          <w:t>https://docs.google.com/forms/d/e/1FAIpQLSf99dEUkt0uYkQzMOfiZwtGrauKI3udlaxrTxlNsSfgSZ_hHw/viewform</w:t>
        </w:r>
      </w:hyperlink>
      <w:bookmarkEnd w:id="39"/>
      <w:r w:rsidR="00EA4B77">
        <w:rPr>
          <w:rFonts w:ascii="Times New Roman" w:hAnsi="Times New Roman"/>
          <w:sz w:val="16"/>
          <w:szCs w:val="16"/>
        </w:rPr>
        <w:t xml:space="preserve"> </w:t>
      </w:r>
    </w:p>
  </w:footnote>
  <w:footnote w:id="42">
    <w:p w14:paraId="45D06270" w14:textId="77777777"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Europska komisija, Construction and Demolition Waste (CDW), dostupno na:</w:t>
      </w:r>
      <w:r>
        <w:t xml:space="preserve"> </w:t>
      </w:r>
      <w:hyperlink r:id="rId29" w:history="1">
        <w:r>
          <w:rPr>
            <w:rStyle w:val="Hiperveza"/>
            <w:rFonts w:ascii="Times New Roman" w:eastAsiaTheme="minorHAnsi" w:hAnsi="Times New Roman"/>
            <w:color w:val="0000FF"/>
            <w:sz w:val="16"/>
            <w:u w:val="single"/>
            <w:lang w:eastAsia="en-US"/>
          </w:rPr>
          <w:t>https://ec.europa.eu/environment/waste/construction_demolition.htm</w:t>
        </w:r>
      </w:hyperlink>
      <w:r>
        <w:rPr>
          <w:rStyle w:val="Hiperveza"/>
          <w:rFonts w:ascii="Times New Roman" w:eastAsiaTheme="minorHAnsi" w:hAnsi="Times New Roman"/>
          <w:color w:val="0000FF"/>
          <w:sz w:val="16"/>
          <w:u w:val="single"/>
          <w:lang w:eastAsia="en-US"/>
        </w:rPr>
        <w:t xml:space="preserve"> </w:t>
      </w:r>
    </w:p>
  </w:footnote>
  <w:footnote w:id="43">
    <w:p w14:paraId="45D06271"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Komunikacij</w:t>
      </w:r>
      <w:r>
        <w:rPr>
          <w:rFonts w:ascii="Times New Roman" w:hAnsi="Times New Roman"/>
          <w:sz w:val="16"/>
          <w:szCs w:val="16"/>
        </w:rPr>
        <w:t>a</w:t>
      </w:r>
      <w:r>
        <w:rPr>
          <w:rStyle w:val="Referencafusnote"/>
          <w:rFonts w:ascii="Times New Roman" w:hAnsi="Times New Roman"/>
          <w:sz w:val="16"/>
          <w:szCs w:val="16"/>
          <w:vertAlign w:val="baseline"/>
        </w:rPr>
        <w:t xml:space="preserve"> Komisije Europskom parlamentu i Vijeću: Strategija za održivu konkurentnost građevinskog sektora i poduzeća u tom sektoru</w:t>
      </w:r>
      <w:r>
        <w:rPr>
          <w:rFonts w:ascii="Times New Roman" w:hAnsi="Times New Roman"/>
          <w:sz w:val="16"/>
          <w:szCs w:val="16"/>
        </w:rPr>
        <w:t xml:space="preserve">  (COM(2012) 0433 final) od 31.7.2012. godine, </w:t>
      </w:r>
      <w:r>
        <w:rPr>
          <w:rStyle w:val="Referencafusnote"/>
          <w:rFonts w:ascii="Times New Roman" w:hAnsi="Times New Roman"/>
          <w:sz w:val="16"/>
          <w:szCs w:val="16"/>
          <w:vertAlign w:val="baseline"/>
        </w:rPr>
        <w:t>dostupno na:</w:t>
      </w:r>
      <w:r>
        <w:t xml:space="preserve"> </w:t>
      </w:r>
      <w:hyperlink r:id="rId30" w:history="1">
        <w:r>
          <w:rPr>
            <w:rStyle w:val="Hiperveza"/>
            <w:rFonts w:ascii="Times New Roman" w:eastAsiaTheme="minorHAnsi" w:hAnsi="Times New Roman"/>
            <w:color w:val="0000FF"/>
            <w:sz w:val="16"/>
            <w:u w:val="single"/>
            <w:lang w:eastAsia="en-US"/>
          </w:rPr>
          <w:t>https://eur-lex.europa.eu/legal-content/EN/TXT/?uri=celex%3A52012DC0433</w:t>
        </w:r>
      </w:hyperlink>
      <w:r>
        <w:rPr>
          <w:rStyle w:val="Hiperveza"/>
          <w:rFonts w:ascii="Times New Roman" w:eastAsiaTheme="minorHAnsi" w:hAnsi="Times New Roman"/>
          <w:color w:val="0000FF"/>
          <w:sz w:val="16"/>
          <w:u w:val="single"/>
          <w:lang w:eastAsia="en-US"/>
        </w:rPr>
        <w:t xml:space="preserve">  </w:t>
      </w:r>
    </w:p>
  </w:footnote>
  <w:footnote w:id="44">
    <w:p w14:paraId="45D06272"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bookmarkStart w:id="45" w:name="_Hlk51315453"/>
      <w:r>
        <w:rPr>
          <w:rStyle w:val="Referencafusnote"/>
          <w:rFonts w:ascii="Times New Roman" w:hAnsi="Times New Roman"/>
          <w:sz w:val="16"/>
          <w:szCs w:val="16"/>
          <w:vertAlign w:val="baseline"/>
        </w:rPr>
        <w:t>Komunikacija Komisije Europskom parlamentu, Vijeću, Europskom gospodarskom i socijalnom odboru i Odboru regija</w:t>
      </w:r>
      <w:r>
        <w:rPr>
          <w:rFonts w:ascii="Times New Roman" w:hAnsi="Times New Roman"/>
          <w:sz w:val="16"/>
          <w:szCs w:val="16"/>
        </w:rPr>
        <w:t>:</w:t>
      </w:r>
      <w:r>
        <w:rPr>
          <w:rStyle w:val="Referencafusnote"/>
          <w:rFonts w:ascii="Times New Roman" w:hAnsi="Times New Roman"/>
          <w:sz w:val="16"/>
          <w:szCs w:val="16"/>
          <w:vertAlign w:val="baseline"/>
        </w:rPr>
        <w:t xml:space="preserve"> Prilik</w:t>
      </w:r>
      <w:r>
        <w:rPr>
          <w:rFonts w:ascii="Times New Roman" w:hAnsi="Times New Roman"/>
          <w:sz w:val="16"/>
          <w:szCs w:val="16"/>
        </w:rPr>
        <w:t>e</w:t>
      </w:r>
      <w:r>
        <w:rPr>
          <w:rStyle w:val="Referencafusnote"/>
          <w:rFonts w:ascii="Times New Roman" w:hAnsi="Times New Roman"/>
          <w:sz w:val="16"/>
          <w:szCs w:val="16"/>
          <w:vertAlign w:val="baseline"/>
        </w:rPr>
        <w:t xml:space="preserve"> za učinkovit</w:t>
      </w:r>
      <w:r>
        <w:rPr>
          <w:rFonts w:ascii="Times New Roman" w:hAnsi="Times New Roman"/>
          <w:sz w:val="16"/>
          <w:szCs w:val="16"/>
        </w:rPr>
        <w:t>ije</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 </w:t>
      </w:r>
      <w:r>
        <w:rPr>
          <w:rStyle w:val="Referencafusnote"/>
          <w:rFonts w:ascii="Times New Roman" w:hAnsi="Times New Roman"/>
          <w:sz w:val="16"/>
          <w:szCs w:val="16"/>
          <w:vertAlign w:val="baseline"/>
        </w:rPr>
        <w:t>korištenje resursa u građevinskom sektoru</w:t>
      </w:r>
      <w:r>
        <w:rPr>
          <w:rFonts w:ascii="Times New Roman" w:hAnsi="Times New Roman"/>
          <w:sz w:val="16"/>
          <w:szCs w:val="16"/>
        </w:rPr>
        <w:t xml:space="preserve"> (COM(2014) 0445 final) od 1.7.2014. godine</w:t>
      </w:r>
      <w:bookmarkEnd w:id="45"/>
      <w:r>
        <w:rPr>
          <w:rFonts w:ascii="Times New Roman" w:hAnsi="Times New Roman"/>
          <w:sz w:val="16"/>
          <w:szCs w:val="16"/>
        </w:rPr>
        <w:t xml:space="preserve">, </w:t>
      </w:r>
      <w:r>
        <w:rPr>
          <w:rStyle w:val="Referencafusnote"/>
          <w:rFonts w:ascii="Times New Roman" w:hAnsi="Times New Roman"/>
          <w:sz w:val="16"/>
          <w:szCs w:val="16"/>
          <w:vertAlign w:val="baseline"/>
        </w:rPr>
        <w:t xml:space="preserve"> dostupno na: </w:t>
      </w:r>
    </w:p>
    <w:p w14:paraId="45D06273" w14:textId="77777777" w:rsidR="00EA4B77" w:rsidRDefault="00EA4B77">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vertAlign w:val="baseline"/>
        </w:rPr>
        <w:t xml:space="preserve">  </w:t>
      </w:r>
      <w:hyperlink r:id="rId31" w:history="1">
        <w:r>
          <w:rPr>
            <w:rStyle w:val="Hiperveza"/>
            <w:rFonts w:ascii="Times New Roman" w:eastAsiaTheme="minorHAnsi" w:hAnsi="Times New Roman"/>
            <w:color w:val="0000FF"/>
            <w:sz w:val="16"/>
            <w:u w:val="single"/>
            <w:lang w:eastAsia="en-US"/>
          </w:rPr>
          <w:t>https://eur-lex.europa.eu/legal-content/HR/TXT/?uri=CELEX%3A52014DC0445</w:t>
        </w:r>
      </w:hyperlink>
      <w:r>
        <w:rPr>
          <w:rFonts w:ascii="Times New Roman" w:hAnsi="Times New Roman"/>
          <w:sz w:val="16"/>
          <w:szCs w:val="16"/>
        </w:rPr>
        <w:t xml:space="preserve"> </w:t>
      </w:r>
    </w:p>
  </w:footnote>
  <w:footnote w:id="45">
    <w:p w14:paraId="45D06274" w14:textId="77777777" w:rsidR="00EA4B77" w:rsidRDefault="00EA4B77">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Nature Based Solution</w:t>
      </w:r>
      <w:r>
        <w:rPr>
          <w:rFonts w:ascii="Times New Roman" w:hAnsi="Times New Roman"/>
          <w:sz w:val="16"/>
          <w:szCs w:val="16"/>
        </w:rPr>
        <w:t>s</w:t>
      </w:r>
      <w:r>
        <w:rPr>
          <w:rStyle w:val="Referencafusnote"/>
          <w:rFonts w:ascii="Times New Roman" w:hAnsi="Times New Roman"/>
          <w:sz w:val="16"/>
          <w:szCs w:val="16"/>
          <w:vertAlign w:val="baseline"/>
        </w:rPr>
        <w:t>, dostupno na:</w:t>
      </w:r>
      <w:r>
        <w:rPr>
          <w:rStyle w:val="Hiperveza"/>
          <w:rFonts w:ascii="Times New Roman" w:eastAsiaTheme="minorHAnsi" w:hAnsi="Times New Roman"/>
          <w:color w:val="0000FF"/>
          <w:sz w:val="16"/>
          <w:u w:val="single"/>
          <w:lang w:eastAsia="en-US"/>
        </w:rPr>
        <w:t xml:space="preserve">  </w:t>
      </w:r>
      <w:hyperlink r:id="rId32" w:history="1">
        <w:r>
          <w:rPr>
            <w:rStyle w:val="Hiperveza"/>
            <w:rFonts w:ascii="Times New Roman" w:eastAsiaTheme="minorHAnsi" w:hAnsi="Times New Roman"/>
            <w:color w:val="0000FF"/>
            <w:sz w:val="16"/>
            <w:u w:val="single"/>
            <w:lang w:eastAsia="en-US"/>
          </w:rPr>
          <w:t>https://www.iucn.org/commissions/commission-ecosystem-management/our-work/nature-based-solutions</w:t>
        </w:r>
      </w:hyperlink>
      <w:r>
        <w:rPr>
          <w:rFonts w:ascii="Times New Roman" w:hAnsi="Times New Roman"/>
          <w:sz w:val="16"/>
          <w:szCs w:val="16"/>
        </w:rPr>
        <w:t xml:space="preserve"> </w:t>
      </w:r>
    </w:p>
  </w:footnote>
  <w:footnote w:id="46">
    <w:p w14:paraId="45D06275" w14:textId="77777777" w:rsidR="00EA4B77" w:rsidRDefault="00EA4B77">
      <w:pPr>
        <w:spacing w:line="240" w:lineRule="auto"/>
        <w:jc w:val="left"/>
        <w:rPr>
          <w:sz w:val="16"/>
          <w:szCs w:val="16"/>
        </w:rPr>
      </w:pPr>
      <w:r>
        <w:rPr>
          <w:rStyle w:val="Referencafusnote"/>
          <w:rFonts w:ascii="Times New Roman" w:hAnsi="Times New Roman"/>
          <w:sz w:val="16"/>
          <w:szCs w:val="16"/>
        </w:rPr>
        <w:footnoteRef/>
      </w:r>
      <w:r>
        <w:rPr>
          <w:rFonts w:ascii="Times New Roman" w:hAnsi="Times New Roman"/>
          <w:sz w:val="16"/>
          <w:szCs w:val="16"/>
        </w:rPr>
        <w:t xml:space="preserve"> Europska komisija, </w:t>
      </w:r>
      <w:r>
        <w:rPr>
          <w:rStyle w:val="Referencafusnote"/>
          <w:rFonts w:ascii="Times New Roman" w:hAnsi="Times New Roman"/>
          <w:sz w:val="16"/>
          <w:szCs w:val="16"/>
          <w:vertAlign w:val="baseline"/>
        </w:rPr>
        <w:t xml:space="preserve">Level(s), dostupno na: </w:t>
      </w:r>
      <w:hyperlink r:id="rId33" w:history="1">
        <w:r>
          <w:rPr>
            <w:rStyle w:val="Hiperveza"/>
            <w:rFonts w:ascii="Times New Roman" w:eastAsiaTheme="minorHAnsi" w:hAnsi="Times New Roman"/>
            <w:color w:val="0000FF"/>
            <w:sz w:val="16"/>
            <w:u w:val="single"/>
            <w:lang w:eastAsia="en-US"/>
          </w:rPr>
          <w:t>https://ec.europa.eu/environment/eussd/buildings.htm</w:t>
        </w:r>
      </w:hyperlink>
      <w:r>
        <w:rPr>
          <w:rFonts w:ascii="Times New Roman" w:hAnsi="Times New Roman"/>
          <w:sz w:val="16"/>
          <w:szCs w:val="16"/>
        </w:rPr>
        <w:t xml:space="preserve"> </w:t>
      </w:r>
    </w:p>
  </w:footnote>
  <w:footnote w:id="47">
    <w:p w14:paraId="45D06276" w14:textId="77777777" w:rsidR="00EA4B77" w:rsidRDefault="00EA4B77">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Europska komisija, Leading the way to a global circular economy: state of play and outlook (</w:t>
      </w:r>
      <w:r>
        <w:rPr>
          <w:rFonts w:ascii="Times New Roman" w:hAnsi="Times New Roman"/>
          <w:sz w:val="16"/>
          <w:szCs w:val="16"/>
        </w:rPr>
        <w:t xml:space="preserve">SWD(2020) 100 final) od 11.3.2020. godine, </w:t>
      </w:r>
      <w:r>
        <w:rPr>
          <w:rStyle w:val="Referencafusnote"/>
          <w:rFonts w:ascii="Times New Roman" w:hAnsi="Times New Roman"/>
          <w:sz w:val="16"/>
          <w:szCs w:val="16"/>
          <w:vertAlign w:val="baseline"/>
        </w:rPr>
        <w:t>dostupno na:</w:t>
      </w:r>
      <w:r>
        <w:rPr>
          <w:rFonts w:ascii="Times New Roman" w:hAnsi="Times New Roman"/>
          <w:sz w:val="16"/>
          <w:szCs w:val="16"/>
        </w:rPr>
        <w:t xml:space="preserve"> </w:t>
      </w:r>
      <w:hyperlink r:id="rId34" w:history="1">
        <w:r>
          <w:rPr>
            <w:rStyle w:val="Hiperveza"/>
            <w:rFonts w:ascii="Times New Roman" w:eastAsiaTheme="minorHAnsi" w:hAnsi="Times New Roman"/>
            <w:color w:val="0000FF"/>
            <w:sz w:val="16"/>
            <w:u w:val="single"/>
            <w:lang w:eastAsia="en-US"/>
          </w:rPr>
          <w:t>https://ec.europa.eu/environment/circular-economy/pdf/leading_way_global_circular_economy.pdf</w:t>
        </w:r>
      </w:hyperlink>
      <w:r>
        <w:rPr>
          <w:rFonts w:ascii="Times New Roman" w:hAnsi="Times New Roman"/>
          <w:sz w:val="16"/>
          <w:szCs w:val="16"/>
        </w:rPr>
        <w:t xml:space="preserve"> </w:t>
      </w:r>
    </w:p>
  </w:footnote>
  <w:footnote w:id="48">
    <w:p w14:paraId="45D06277" w14:textId="77777777" w:rsidR="00EA4B77" w:rsidRDefault="00EA4B77">
      <w:pPr>
        <w:spacing w:line="240" w:lineRule="auto"/>
        <w:jc w:val="left"/>
        <w:rPr>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MPGI, Registar brownfield područja u Republici Hrvatskoj</w:t>
      </w:r>
      <w:r>
        <w:rPr>
          <w:rStyle w:val="Referencafusnote"/>
          <w:rFonts w:ascii="Times New Roman" w:hAnsi="Times New Roman"/>
          <w:sz w:val="16"/>
          <w:szCs w:val="16"/>
          <w:vertAlign w:val="baseline"/>
        </w:rPr>
        <w:t>, dostupno na:</w:t>
      </w:r>
      <w:r>
        <w:rPr>
          <w:rFonts w:ascii="Times New Roman" w:hAnsi="Times New Roman"/>
          <w:sz w:val="16"/>
          <w:szCs w:val="16"/>
        </w:rPr>
        <w:t xml:space="preserve"> </w:t>
      </w:r>
      <w:r>
        <w:rPr>
          <w:rStyle w:val="Hiperveza"/>
          <w:rFonts w:ascii="Times New Roman" w:eastAsiaTheme="minorHAnsi" w:hAnsi="Times New Roman"/>
          <w:color w:val="0000FF"/>
          <w:sz w:val="16"/>
          <w:u w:val="single"/>
          <w:lang w:eastAsia="en-US"/>
        </w:rPr>
        <w:t>https://ispu.mgipu.hr/</w:t>
      </w:r>
    </w:p>
  </w:footnote>
  <w:footnote w:id="49">
    <w:p w14:paraId="45D06278" w14:textId="77777777" w:rsidR="00EA4B77" w:rsidRDefault="00EA4B77">
      <w:pPr>
        <w:spacing w:line="240" w:lineRule="auto"/>
        <w:jc w:val="left"/>
        <w:rPr>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Vlada RH, 2019.</w:t>
      </w:r>
      <w:r>
        <w:rPr>
          <w:rFonts w:ascii="Times New Roman" w:hAnsi="Times New Roman"/>
          <w:sz w:val="16"/>
          <w:szCs w:val="16"/>
        </w:rPr>
        <w:t xml:space="preserve">: </w:t>
      </w:r>
      <w:r>
        <w:rPr>
          <w:rStyle w:val="Referencafusnote"/>
          <w:rFonts w:ascii="Times New Roman" w:hAnsi="Times New Roman"/>
          <w:sz w:val="16"/>
          <w:szCs w:val="16"/>
          <w:vertAlign w:val="baseline"/>
        </w:rPr>
        <w:t xml:space="preserve"> 2021. – 2030. ukupno 10.930.698 m² novih zgrada, 2031. – 2040. 14.721.602 m²</w:t>
      </w:r>
    </w:p>
  </w:footnote>
  <w:footnote w:id="50">
    <w:p w14:paraId="45D06279" w14:textId="77777777" w:rsidR="00EA4B77" w:rsidRDefault="00EA4B77">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Procjena rizika od katastrofa za Republiku Hrvatsku, </w:t>
      </w:r>
      <w:bookmarkStart w:id="126" w:name="_Hlk37780764"/>
      <w:r>
        <w:rPr>
          <w:rStyle w:val="Referencafusnote"/>
          <w:rFonts w:ascii="Times New Roman" w:hAnsi="Times New Roman"/>
          <w:sz w:val="16"/>
          <w:szCs w:val="16"/>
          <w:vertAlign w:val="baseline"/>
        </w:rPr>
        <w:t>Glavna radna skupina Hrvatske platforme za smanjenje rizika od katastrofa</w:t>
      </w:r>
      <w:bookmarkEnd w:id="126"/>
      <w:r>
        <w:rPr>
          <w:rStyle w:val="Referencafusnote"/>
          <w:rFonts w:ascii="Times New Roman" w:hAnsi="Times New Roman"/>
          <w:sz w:val="16"/>
          <w:szCs w:val="16"/>
          <w:vertAlign w:val="baseline"/>
        </w:rPr>
        <w:t xml:space="preserve">, dostupno na:  </w:t>
      </w:r>
    </w:p>
    <w:p w14:paraId="45D0627A" w14:textId="77777777" w:rsidR="00EA4B77" w:rsidRDefault="004A10C1">
      <w:pPr>
        <w:spacing w:line="240" w:lineRule="auto"/>
        <w:jc w:val="left"/>
        <w:rPr>
          <w:rStyle w:val="Hiperveza"/>
          <w:rFonts w:ascii="Times New Roman" w:eastAsiaTheme="minorHAnsi" w:hAnsi="Times New Roman"/>
          <w:color w:val="0000FF"/>
          <w:sz w:val="16"/>
          <w:u w:val="single"/>
          <w:lang w:eastAsia="en-US"/>
        </w:rPr>
      </w:pPr>
      <w:hyperlink r:id="rId35" w:history="1">
        <w:r w:rsidR="00EA4B77">
          <w:rPr>
            <w:rStyle w:val="Hiperveza"/>
            <w:rFonts w:ascii="Times New Roman" w:eastAsiaTheme="minorHAnsi" w:hAnsi="Times New Roman"/>
            <w:color w:val="0000FF"/>
            <w:sz w:val="16"/>
            <w:u w:val="single"/>
            <w:lang w:eastAsia="en-US"/>
          </w:rPr>
          <w:t>https://civilna-zastita.gov.hr/UserDocsImages/CIVILNA%20ZA%C5%A0TITA/PDF_ZA%20WEB/Procjena_rizika%20od%20katastrofa_2019.pdf</w:t>
        </w:r>
      </w:hyperlink>
      <w:r w:rsidR="00EA4B77">
        <w:rPr>
          <w:rStyle w:val="Hiperveza"/>
          <w:rFonts w:ascii="Times New Roman" w:eastAsiaTheme="minorHAnsi" w:hAnsi="Times New Roman"/>
          <w:color w:val="0000FF"/>
          <w:sz w:val="16"/>
          <w:u w:val="single"/>
          <w:lang w:eastAsia="en-US"/>
        </w:rPr>
        <w:t xml:space="preserve"> </w:t>
      </w:r>
    </w:p>
  </w:footnote>
  <w:footnote w:id="51">
    <w:p w14:paraId="45D0627B" w14:textId="4A5B85F3"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otpornosti na požar i drugim zahtjevima koje građevine moraju zadovoljiti u slučaju požara (NN 112/17, 34/18, NN 36/19, NN 98/19)</w:t>
      </w:r>
    </w:p>
  </w:footnote>
  <w:footnote w:id="52">
    <w:p w14:paraId="45D0627C" w14:textId="2947F14F" w:rsidR="00EA4B77" w:rsidRDefault="00EA4B77">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jednostavnim i drugim građevinama i radovima (NN 112/17, 34/18, 36/19, 98/19, 31/20)</w:t>
      </w:r>
    </w:p>
  </w:footnote>
  <w:footnote w:id="53">
    <w:p w14:paraId="45D0627D" w14:textId="2A812AD2" w:rsidR="00EA4B77" w:rsidRDefault="00EA4B77">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Zakon o g</w:t>
      </w:r>
      <w:r>
        <w:rPr>
          <w:rFonts w:ascii="Times New Roman" w:hAnsi="Times New Roman"/>
          <w:sz w:val="16"/>
          <w:szCs w:val="16"/>
        </w:rPr>
        <w:t xml:space="preserve">ospodarenju </w:t>
      </w:r>
      <w:r>
        <w:rPr>
          <w:rStyle w:val="Referencafusnote"/>
          <w:rFonts w:ascii="Times New Roman" w:hAnsi="Times New Roman"/>
          <w:sz w:val="16"/>
          <w:szCs w:val="16"/>
          <w:vertAlign w:val="baseline"/>
        </w:rPr>
        <w:t>otpadom (NN 8</w:t>
      </w:r>
      <w:r>
        <w:rPr>
          <w:rFonts w:ascii="Times New Roman" w:hAnsi="Times New Roman"/>
          <w:sz w:val="16"/>
          <w:szCs w:val="16"/>
        </w:rPr>
        <w:t>4/21</w:t>
      </w:r>
      <w:r>
        <w:rPr>
          <w:rStyle w:val="Referencafusnote"/>
          <w:rFonts w:ascii="Times New Roman" w:hAnsi="Times New Roman"/>
          <w:sz w:val="16"/>
          <w:szCs w:val="16"/>
          <w:vertAlign w:val="baseline"/>
        </w:rPr>
        <w:t>)</w:t>
      </w:r>
    </w:p>
  </w:footnote>
  <w:footnote w:id="54">
    <w:p w14:paraId="45D0627E" w14:textId="5E905B26" w:rsidR="00EA4B77" w:rsidRDefault="00EA4B77" w:rsidP="000F3DB1">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Odluka o donošenju Plana gospodarenja otpadom Republike Hrvatske za razdoblje 2017. - 2022. godine</w:t>
      </w:r>
      <w:r>
        <w:rPr>
          <w:rFonts w:ascii="Times New Roman" w:hAnsi="Times New Roman"/>
          <w:sz w:val="16"/>
          <w:szCs w:val="16"/>
        </w:rPr>
        <w:t xml:space="preserve"> (NN 3/2017)</w:t>
      </w:r>
    </w:p>
    <w:p w14:paraId="45D0627F" w14:textId="6EDB0D94" w:rsidR="00EA4B77" w:rsidRDefault="00EA4B77">
      <w:pPr>
        <w:spacing w:line="240" w:lineRule="auto"/>
        <w:jc w:val="left"/>
        <w:rPr>
          <w:rStyle w:val="Referencafusnote"/>
          <w:rFonts w:ascii="Times New Roman" w:hAnsi="Times New Roman"/>
          <w:sz w:val="16"/>
          <w:szCs w:val="16"/>
          <w:vertAlign w:val="baseline"/>
        </w:rPr>
      </w:pPr>
      <w:r>
        <w:rPr>
          <w:rFonts w:ascii="Times New Roman" w:hAnsi="Times New Roman"/>
          <w:sz w:val="16"/>
          <w:szCs w:val="16"/>
        </w:rPr>
        <w:t xml:space="preserve"> </w:t>
      </w:r>
    </w:p>
  </w:footnote>
  <w:footnote w:id="55">
    <w:p w14:paraId="45D06280" w14:textId="77777777" w:rsidR="00EA4B77" w:rsidRDefault="00EA4B77">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Državni zavod za statistiku / Statistički ljetopis RH 2018. /</w:t>
      </w:r>
      <w:r>
        <w:rPr>
          <w:rFonts w:ascii="Times New Roman" w:hAnsi="Times New Roman"/>
          <w:sz w:val="16"/>
          <w:szCs w:val="16"/>
        </w:rPr>
        <w:t>,</w:t>
      </w:r>
      <w:r>
        <w:rPr>
          <w:rStyle w:val="Referencafusnote"/>
          <w:rFonts w:ascii="Times New Roman" w:hAnsi="Times New Roman"/>
          <w:sz w:val="16"/>
          <w:szCs w:val="16"/>
          <w:vertAlign w:val="baseline"/>
        </w:rPr>
        <w:t xml:space="preserve"> dostupno na:</w:t>
      </w:r>
      <w:r>
        <w:t xml:space="preserve"> </w:t>
      </w:r>
      <w:hyperlink r:id="rId36" w:history="1">
        <w:r>
          <w:rPr>
            <w:rStyle w:val="Hiperveza"/>
            <w:rFonts w:ascii="Times New Roman" w:eastAsiaTheme="minorHAnsi" w:hAnsi="Times New Roman"/>
            <w:color w:val="0000FF"/>
            <w:sz w:val="16"/>
            <w:u w:val="single"/>
            <w:lang w:eastAsia="en-US"/>
          </w:rPr>
          <w:t>https://www.dzs.hr/Hrv_Eng/ljetopis/2017/sljh2017.pdf</w:t>
        </w:r>
      </w:hyperlink>
      <w:r>
        <w:rPr>
          <w:rStyle w:val="Hiperveza"/>
          <w:rFonts w:ascii="Times New Roman" w:eastAsiaTheme="minorHAnsi" w:hAnsi="Times New Roman"/>
          <w:color w:val="0000FF"/>
          <w:sz w:val="16"/>
          <w:u w:val="single"/>
          <w:lang w:eastAsia="en-US"/>
        </w:rPr>
        <w:t xml:space="preserve">  </w:t>
      </w:r>
    </w:p>
  </w:footnote>
  <w:footnote w:id="56">
    <w:p w14:paraId="45D06281" w14:textId="7979DA4D" w:rsidR="00EA4B77" w:rsidRDefault="00EA4B77">
      <w:pPr>
        <w:spacing w:line="240" w:lineRule="auto"/>
        <w:jc w:val="left"/>
        <w:rPr>
          <w:rStyle w:val="Referencafusnote"/>
          <w:rFonts w:ascii="Times New Roman" w:hAnsi="Times New Roman"/>
          <w:sz w:val="16"/>
          <w:szCs w:val="16"/>
          <w:vertAlign w:val="baseline"/>
        </w:rPr>
      </w:pPr>
      <w:bookmarkStart w:id="134" w:name="_Hlk36840363"/>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Hrvatska agencija za okoliš i prirodu</w:t>
      </w:r>
      <w:r>
        <w:rPr>
          <w:rFonts w:ascii="Times New Roman" w:hAnsi="Times New Roman"/>
          <w:sz w:val="16"/>
          <w:szCs w:val="16"/>
        </w:rPr>
        <w:t>,</w:t>
      </w:r>
      <w:r>
        <w:rPr>
          <w:rStyle w:val="Referencafusnote"/>
          <w:rFonts w:ascii="Times New Roman" w:hAnsi="Times New Roman"/>
          <w:sz w:val="16"/>
          <w:szCs w:val="16"/>
          <w:vertAlign w:val="baseline"/>
        </w:rPr>
        <w:t xml:space="preserve"> Pregled podataka o gospodarenju građevnim otpadom u 2017. godini</w:t>
      </w:r>
      <w:r>
        <w:rPr>
          <w:rFonts w:ascii="Times New Roman" w:hAnsi="Times New Roman"/>
          <w:sz w:val="16"/>
          <w:szCs w:val="16"/>
        </w:rPr>
        <w:t>,</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studeni 2020., </w:t>
      </w:r>
      <w:r>
        <w:rPr>
          <w:rStyle w:val="Referencafusnote"/>
          <w:rFonts w:ascii="Times New Roman" w:hAnsi="Times New Roman"/>
          <w:sz w:val="16"/>
          <w:szCs w:val="16"/>
          <w:vertAlign w:val="baseline"/>
        </w:rPr>
        <w:t>dostupno na:</w:t>
      </w:r>
      <w:r>
        <w:rPr>
          <w:rFonts w:ascii="Times New Roman" w:hAnsi="Times New Roman"/>
          <w:sz w:val="16"/>
          <w:szCs w:val="16"/>
        </w:rPr>
        <w:t xml:space="preserve"> </w:t>
      </w:r>
      <w:r w:rsidRPr="002D344B">
        <w:rPr>
          <w:rFonts w:ascii="Times New Roman" w:hAnsi="Times New Roman"/>
          <w:sz w:val="16"/>
          <w:szCs w:val="16"/>
        </w:rPr>
        <w:t>http://www.haop.hr/sites/default/files/uploads/dokumenti/021_otpad/Izvjesca/ostalo/OTP_Gradjevni_izvjesce_2019.pdf</w:t>
      </w:r>
    </w:p>
    <w:bookmarkEnd w:id="134"/>
    <w:p w14:paraId="45D06282" w14:textId="3D336190" w:rsidR="00EA4B77" w:rsidRDefault="00EA4B77">
      <w:pPr>
        <w:spacing w:line="240" w:lineRule="auto"/>
        <w:jc w:val="left"/>
        <w:rPr>
          <w:rStyle w:val="Referencafusnote"/>
          <w:rFonts w:ascii="Times New Roman" w:hAnsi="Times New Roman"/>
          <w:sz w:val="18"/>
          <w:szCs w:val="18"/>
          <w:vertAlign w:val="baseline"/>
        </w:rPr>
      </w:pPr>
    </w:p>
  </w:footnote>
  <w:footnote w:id="57">
    <w:p w14:paraId="45D06283" w14:textId="77777777" w:rsidR="00EA4B77" w:rsidRDefault="00EA4B77">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bCs/>
          <w:sz w:val="16"/>
          <w:szCs w:val="16"/>
        </w:rPr>
        <w:t>Izvješće Komisije Europskom parlamentu, Vijeću i Europskom gospodarskom i socijalnom odboru regija o provedbi zakonodavstva EU-a o otpadu u razdoblju 2010. – 2012. Provedba Direktive 2008/98/EZ o otpadu, Direktive 86/278/EEZ o mulju iz otpadnih voda, Direktive 1999/31/EZ o odlagalištima otpada, Direktive 94/62/EZ o ambalaži i ambalažnom otpadu, Direktive 2002/96/EZ o otpadnoj električnoj i elektroničkoj opremi (OEEO) i Direktive 2006/66/EZ o baterijama i akumulatorima (COM(2017) 88 final) od 27.2.2017. godine</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p>
    <w:p w14:paraId="45D06284" w14:textId="77777777" w:rsidR="00EA4B77" w:rsidRDefault="00EA4B77">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https://eur-lex.europa.eu/legal-content/hr/TXT/?uri=CELEX:52017DC0088</w:t>
      </w:r>
    </w:p>
  </w:footnote>
  <w:footnote w:id="58">
    <w:p w14:paraId="45D06286" w14:textId="11B9305F"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bCs/>
          <w:sz w:val="16"/>
          <w:szCs w:val="16"/>
        </w:rPr>
        <w:t>Direktiva 2008/98/EZ Europskog parlamenta i Vijeća od 19. studenoga 2008. o otpadu i stavljanju izvan snage određenih direktiva (Tekst značajan za EGP) (SL L 312/3 22.11.2008.)</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hyperlink r:id="rId37" w:history="1">
        <w:r>
          <w:rPr>
            <w:rStyle w:val="Hiperveza"/>
            <w:rFonts w:ascii="Times New Roman" w:eastAsiaTheme="minorHAnsi" w:hAnsi="Times New Roman"/>
            <w:color w:val="0000FF"/>
            <w:sz w:val="16"/>
            <w:u w:val="single"/>
            <w:lang w:eastAsia="en-US"/>
          </w:rPr>
          <w:t>https://eur-lex.europa.eu/legal-content/HR/TXT/?uri=CELEX%3A32008L0098</w:t>
        </w:r>
      </w:hyperlink>
    </w:p>
  </w:footnote>
  <w:footnote w:id="59">
    <w:p w14:paraId="064AB665" w14:textId="0A95BCDE" w:rsidR="00EA4B77" w:rsidRDefault="00EA4B77">
      <w:pPr>
        <w:pStyle w:val="Tekstfusnote"/>
      </w:pPr>
      <w:r>
        <w:rPr>
          <w:rStyle w:val="Referencafusnote"/>
        </w:rPr>
        <w:footnoteRef/>
      </w:r>
      <w:r>
        <w:t xml:space="preserve"> Prema zahtjevima iz Protokola EU-a za gospodarenje građevinskim otpadom i otpadom od rušenja</w:t>
      </w:r>
      <w:r w:rsidRPr="00942CE6">
        <w:t xml:space="preserve">, dostupno na: </w:t>
      </w:r>
      <w:hyperlink r:id="rId38" w:history="1">
        <w:r w:rsidRPr="00EA6C46">
          <w:rPr>
            <w:rStyle w:val="Hiperveza"/>
            <w:rFonts w:ascii="Times New Roman" w:hAnsi="Times New Roman"/>
            <w:sz w:val="16"/>
          </w:rPr>
          <w:t>https://ec.europa.eu/docsroom/documents/20509/</w:t>
        </w:r>
      </w:hyperlink>
      <w:r>
        <w:t xml:space="preserve"> te</w:t>
      </w:r>
      <w:r w:rsidRPr="00942CE6">
        <w:t xml:space="preserve"> Smjernic</w:t>
      </w:r>
      <w:r>
        <w:t>a</w:t>
      </w:r>
      <w:r w:rsidRPr="00942CE6">
        <w:t xml:space="preserve"> za revizij</w:t>
      </w:r>
      <w:r>
        <w:t>u</w:t>
      </w:r>
      <w:r w:rsidRPr="00942CE6">
        <w:t xml:space="preserve"> otpada prije rušenja i obnove zgrada, dostupno na:  https://ec.europa.eu/docsroom/documents/31529?locale=en</w:t>
      </w:r>
    </w:p>
  </w:footnote>
  <w:footnote w:id="60">
    <w:p w14:paraId="45D06287" w14:textId="77777777" w:rsidR="00EA4B77" w:rsidRDefault="00EA4B77">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Fonts w:ascii="Times New Roman" w:hAnsi="Times New Roman"/>
          <w:sz w:val="16"/>
          <w:szCs w:val="16"/>
        </w:rPr>
        <w:t xml:space="preserve"> </w:t>
      </w:r>
      <w:r>
        <w:rPr>
          <w:rStyle w:val="Referencafusnote"/>
          <w:rFonts w:ascii="Times New Roman" w:hAnsi="Times New Roman"/>
          <w:sz w:val="16"/>
          <w:szCs w:val="16"/>
          <w:vertAlign w:val="baseline"/>
        </w:rPr>
        <w:t xml:space="preserve">Ministarstvo državne imovine </w:t>
      </w:r>
      <w:r>
        <w:rPr>
          <w:rFonts w:ascii="Times New Roman" w:hAnsi="Times New Roman"/>
          <w:sz w:val="16"/>
          <w:szCs w:val="16"/>
        </w:rPr>
        <w:t>(od srpnja 2020. godine Ministarstvo prostornoga uređenja, graditeljstva i državne imovine)</w:t>
      </w:r>
      <w:r>
        <w:rPr>
          <w:rStyle w:val="Referencafusnote"/>
          <w:rFonts w:ascii="Times New Roman" w:hAnsi="Times New Roman"/>
          <w:sz w:val="16"/>
          <w:szCs w:val="16"/>
          <w:vertAlign w:val="baseline"/>
        </w:rPr>
        <w:t xml:space="preserve">/Strategija upravljanja državnom imovinom za razdoblje 2019.-2025. (NN 52/18), dostupno na: </w:t>
      </w:r>
      <w:hyperlink r:id="rId39" w:history="1">
        <w:r>
          <w:rPr>
            <w:rStyle w:val="Hiperveza"/>
            <w:rFonts w:ascii="Times New Roman" w:eastAsiaTheme="minorHAnsi" w:hAnsi="Times New Roman"/>
            <w:color w:val="0000FF"/>
            <w:sz w:val="16"/>
            <w:u w:val="single"/>
            <w:lang w:eastAsia="en-US"/>
          </w:rPr>
          <w:t>https://imovina.gov.hr/UserDocsImages//dokumenti/Izvjesca//Strategija%20Ministarstva%20državne%20imovine%20za%20razdoblje%202019-2025_2019_10_96_1863.pdf</w:t>
        </w:r>
      </w:hyperlink>
      <w:r>
        <w:rPr>
          <w:rFonts w:ascii="Times New Roman" w:hAnsi="Times New Roman"/>
          <w:sz w:val="16"/>
          <w:szCs w:val="16"/>
        </w:rPr>
        <w:t xml:space="preserve"> </w:t>
      </w:r>
    </w:p>
  </w:footnote>
  <w:footnote w:id="61">
    <w:p w14:paraId="1938C515" w14:textId="77777777" w:rsidR="00EA4B77" w:rsidRPr="00DD1F04" w:rsidRDefault="00EA4B77" w:rsidP="00523F53">
      <w:pPr>
        <w:pStyle w:val="Tekstfusnote"/>
        <w:rPr>
          <w:rStyle w:val="Hiperveza"/>
          <w:rFonts w:ascii="Times New Roman" w:eastAsiaTheme="minorHAnsi" w:hAnsi="Times New Roman"/>
          <w:color w:val="0000FF"/>
          <w:sz w:val="16"/>
          <w:szCs w:val="24"/>
          <w:u w:val="single"/>
          <w:lang w:eastAsia="en-US"/>
        </w:rPr>
      </w:pPr>
      <w:r>
        <w:rPr>
          <w:rStyle w:val="Referencafusnote"/>
        </w:rPr>
        <w:footnoteRef/>
      </w:r>
      <w:r>
        <w:t xml:space="preserve"> </w:t>
      </w:r>
      <w:r w:rsidRPr="007F7C72">
        <w:t>Ugovor o funkcioniranju Europske unije</w:t>
      </w:r>
      <w:r>
        <w:t xml:space="preserve"> </w:t>
      </w:r>
      <w:r w:rsidRPr="001B3160">
        <w:t>(SL C 202/1, 7.6.2016.)</w:t>
      </w:r>
      <w:r>
        <w:t xml:space="preserve">, </w:t>
      </w:r>
      <w:r w:rsidRPr="00DD1F04">
        <w:t xml:space="preserve">dostupno na: </w:t>
      </w:r>
      <w:hyperlink r:id="rId40" w:history="1">
        <w:r w:rsidRPr="00DD1F04">
          <w:rPr>
            <w:rStyle w:val="Hiperveza"/>
            <w:rFonts w:ascii="Times New Roman" w:eastAsiaTheme="minorHAnsi" w:hAnsi="Times New Roman"/>
            <w:color w:val="0000FF"/>
            <w:sz w:val="16"/>
            <w:szCs w:val="24"/>
            <w:u w:val="single"/>
            <w:lang w:eastAsia="en-US"/>
          </w:rPr>
          <w:t>https://eur-lex.europa.eu/legal-content/HR/TXT/?uri=CELEX%3A12016ME%2FTXT</w:t>
        </w:r>
      </w:hyperlink>
      <w:r w:rsidRPr="00DD1F04">
        <w:rPr>
          <w:rStyle w:val="Hiperveza"/>
          <w:rFonts w:ascii="Times New Roman" w:eastAsiaTheme="minorHAnsi" w:hAnsi="Times New Roman"/>
          <w:color w:val="0000FF"/>
          <w:sz w:val="16"/>
          <w:szCs w:val="24"/>
          <w:u w:val="single"/>
          <w:lang w:eastAsia="en-US"/>
        </w:rPr>
        <w:t xml:space="preserve"> </w:t>
      </w:r>
    </w:p>
  </w:footnote>
  <w:footnote w:id="62">
    <w:p w14:paraId="7449D820" w14:textId="336F5CDA" w:rsidR="00EA4B77" w:rsidRPr="00DD1F04" w:rsidRDefault="00EA4B77" w:rsidP="0080282A">
      <w:pPr>
        <w:pStyle w:val="Tekstfusnote"/>
        <w:rPr>
          <w:rStyle w:val="Hiperveza"/>
          <w:rFonts w:ascii="Times New Roman" w:eastAsiaTheme="minorHAnsi" w:hAnsi="Times New Roman"/>
          <w:color w:val="0000FF"/>
          <w:sz w:val="16"/>
          <w:szCs w:val="24"/>
          <w:u w:val="single"/>
          <w:lang w:eastAsia="en-US"/>
        </w:rPr>
      </w:pPr>
      <w:r w:rsidRPr="008F5631">
        <w:rPr>
          <w:rStyle w:val="Referencafusnote"/>
        </w:rPr>
        <w:footnoteRef/>
      </w:r>
      <w:r w:rsidRPr="008F5631">
        <w:t xml:space="preserve"> Obavijest Komisije o pojmu državne potpore iz članka 107. stavka 1. Ugovora o funkcionira</w:t>
      </w:r>
      <w:r w:rsidRPr="0072176B">
        <w:t xml:space="preserve">nju Europske unije (SL C 262/1, 19.7.2016.), dostupno </w:t>
      </w:r>
      <w:r w:rsidRPr="00DD1F04">
        <w:rPr>
          <w:rStyle w:val="Hiperveza"/>
          <w:rFonts w:ascii="Times New Roman" w:eastAsiaTheme="minorHAnsi" w:hAnsi="Times New Roman"/>
          <w:color w:val="0000FF"/>
          <w:sz w:val="16"/>
          <w:szCs w:val="24"/>
          <w:u w:val="single"/>
          <w:lang w:eastAsia="en-US"/>
        </w:rPr>
        <w:t xml:space="preserve">na: </w:t>
      </w:r>
      <w:hyperlink r:id="rId41" w:history="1">
        <w:r w:rsidRPr="00DD1F04">
          <w:rPr>
            <w:rStyle w:val="Hiperveza"/>
            <w:rFonts w:ascii="Times New Roman" w:eastAsiaTheme="minorHAnsi" w:hAnsi="Times New Roman"/>
            <w:color w:val="0000FF"/>
            <w:sz w:val="16"/>
            <w:szCs w:val="24"/>
            <w:u w:val="single"/>
            <w:lang w:eastAsia="en-US"/>
          </w:rPr>
          <w:t>https://eur-lex.europa.eu/legal-content/HR/ALL/?uri=CELEX%3A52016XC0719%2805%29</w:t>
        </w:r>
      </w:hyperlink>
      <w:r w:rsidRPr="00DD1F04">
        <w:rPr>
          <w:rStyle w:val="Hiperveza"/>
          <w:rFonts w:ascii="Times New Roman" w:eastAsiaTheme="minorHAnsi" w:hAnsi="Times New Roman"/>
          <w:color w:val="0000FF"/>
          <w:sz w:val="16"/>
          <w:szCs w:val="24"/>
          <w:u w:val="single"/>
          <w:lang w:eastAsia="en-US"/>
        </w:rPr>
        <w:t xml:space="preserve">  </w:t>
      </w:r>
    </w:p>
  </w:footnote>
  <w:footnote w:id="63">
    <w:p w14:paraId="3890583B" w14:textId="5064CD6F" w:rsidR="00EA4B77" w:rsidRPr="00DD1F04" w:rsidRDefault="00EA4B77" w:rsidP="008948BA">
      <w:pPr>
        <w:pStyle w:val="Tekstfusnote"/>
      </w:pPr>
      <w:r w:rsidRPr="008F5631">
        <w:rPr>
          <w:rStyle w:val="Referencafusnote"/>
        </w:rPr>
        <w:footnoteRef/>
      </w:r>
      <w:r w:rsidRPr="008F5631">
        <w:t xml:space="preserve"> Zakon o državnim po</w:t>
      </w:r>
      <w:r w:rsidRPr="0072176B">
        <w:t>tporama (NN 47/14, 69/17)</w:t>
      </w:r>
    </w:p>
  </w:footnote>
  <w:footnote w:id="64">
    <w:p w14:paraId="272BD5EF" w14:textId="77777777" w:rsidR="00EA4B77" w:rsidRPr="00DD1F04" w:rsidRDefault="00EA4B77" w:rsidP="00604585">
      <w:pPr>
        <w:pStyle w:val="Tekstfusnote"/>
        <w:rPr>
          <w:rStyle w:val="Hiperveza"/>
          <w:rFonts w:ascii="Times New Roman" w:eastAsiaTheme="minorHAnsi" w:hAnsi="Times New Roman"/>
          <w:color w:val="0000FF"/>
          <w:sz w:val="16"/>
          <w:szCs w:val="24"/>
          <w:u w:val="single"/>
          <w:lang w:eastAsia="en-US"/>
        </w:rPr>
      </w:pPr>
      <w:r w:rsidRPr="00C374EC">
        <w:rPr>
          <w:rStyle w:val="Referencafusnote"/>
        </w:rPr>
        <w:footnoteRef/>
      </w:r>
      <w:r w:rsidRPr="00C374EC">
        <w:t xml:space="preserve"> Uredba Komisije (EU) br. 651/2014 od 17. lipnja 2014. o ocjenjivanju određenih kategorija potpora spojivima s unutarnjim tržištem u primjeni članaka 107. i 108. Ugovora</w:t>
      </w:r>
      <w:r>
        <w:t xml:space="preserve"> </w:t>
      </w:r>
      <w:r w:rsidRPr="000F7289">
        <w:t>(SL L 187, 26.6.2014</w:t>
      </w:r>
      <w:r>
        <w:t>.)</w:t>
      </w:r>
      <w:r w:rsidRPr="00C374EC">
        <w:t xml:space="preserve">, dostupno na: </w:t>
      </w:r>
      <w:r w:rsidRPr="00DD1F04">
        <w:rPr>
          <w:rStyle w:val="Hiperveza"/>
          <w:rFonts w:ascii="Times New Roman" w:eastAsiaTheme="minorHAnsi" w:hAnsi="Times New Roman"/>
          <w:color w:val="0000FF"/>
          <w:sz w:val="16"/>
          <w:szCs w:val="24"/>
          <w:u w:val="single"/>
          <w:lang w:eastAsia="en-US"/>
        </w:rPr>
        <w:t>https://eur-lex.europa.eu/legal-content/HR/TXT/PDF/?uri=CELEX:32014R0651&amp;from=ES</w:t>
      </w:r>
    </w:p>
  </w:footnote>
  <w:footnote w:id="65">
    <w:p w14:paraId="57BAF5C8" w14:textId="77777777" w:rsidR="00EA4B77" w:rsidRPr="00C374EC" w:rsidRDefault="00EA4B77" w:rsidP="00604585">
      <w:pPr>
        <w:spacing w:line="240" w:lineRule="auto"/>
      </w:pPr>
      <w:r w:rsidRPr="00A61608">
        <w:rPr>
          <w:rStyle w:val="Referencafusnote"/>
          <w:rFonts w:ascii="Times New Roman" w:eastAsia="Calibri" w:hAnsi="Times New Roman"/>
          <w:sz w:val="16"/>
          <w:szCs w:val="16"/>
          <w:u w:color="000000"/>
          <w:bdr w:val="nil"/>
          <w:lang w:eastAsia="hr-HR"/>
        </w:rPr>
        <w:footnoteRef/>
      </w:r>
      <w:r w:rsidRPr="00A61608">
        <w:rPr>
          <w:rStyle w:val="Referencafusnote"/>
          <w:rFonts w:ascii="Times New Roman" w:eastAsia="Calibri" w:hAnsi="Times New Roman"/>
          <w:sz w:val="16"/>
          <w:szCs w:val="16"/>
          <w:u w:color="000000"/>
          <w:bdr w:val="nil"/>
          <w:lang w:eastAsia="hr-HR"/>
        </w:rPr>
        <w:t xml:space="preserve"> </w:t>
      </w:r>
      <w:r w:rsidRPr="00A61608">
        <w:rPr>
          <w:rFonts w:ascii="Times New Roman" w:eastAsia="Calibri" w:hAnsi="Times New Roman"/>
          <w:sz w:val="16"/>
          <w:szCs w:val="16"/>
          <w:u w:color="000000"/>
          <w:bdr w:val="nil"/>
          <w:lang w:eastAsia="hr-HR"/>
        </w:rPr>
        <w:t xml:space="preserve">Uredba Komisije (EU) 2017/1084 оd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(SL </w:t>
      </w:r>
      <w:r w:rsidRPr="00CE2435">
        <w:rPr>
          <w:rFonts w:ascii="Times New Roman" w:eastAsia="Calibri" w:hAnsi="Times New Roman"/>
          <w:sz w:val="16"/>
          <w:szCs w:val="16"/>
          <w:u w:color="000000"/>
          <w:bdr w:val="nil"/>
          <w:lang w:eastAsia="hr-HR"/>
        </w:rPr>
        <w:t>L 156/1</w:t>
      </w:r>
      <w:r>
        <w:rPr>
          <w:rFonts w:ascii="Times New Roman" w:eastAsia="Calibri" w:hAnsi="Times New Roman"/>
          <w:sz w:val="16"/>
          <w:szCs w:val="16"/>
          <w:u w:color="000000"/>
          <w:bdr w:val="nil"/>
          <w:lang w:eastAsia="hr-HR"/>
        </w:rPr>
        <w:t xml:space="preserve">, </w:t>
      </w:r>
      <w:r w:rsidRPr="00A61608">
        <w:rPr>
          <w:rFonts w:ascii="Times New Roman" w:eastAsia="Calibri" w:hAnsi="Times New Roman"/>
          <w:sz w:val="16"/>
          <w:szCs w:val="16"/>
          <w:u w:color="000000"/>
          <w:bdr w:val="nil"/>
          <w:lang w:eastAsia="hr-HR"/>
        </w:rPr>
        <w:t>20.6.2017</w:t>
      </w:r>
      <w:r>
        <w:rPr>
          <w:rFonts w:ascii="Times New Roman" w:eastAsia="Calibri" w:hAnsi="Times New Roman"/>
          <w:sz w:val="16"/>
          <w:szCs w:val="16"/>
          <w:u w:color="000000"/>
          <w:bdr w:val="nil"/>
          <w:lang w:eastAsia="hr-HR"/>
        </w:rPr>
        <w:t>.),</w:t>
      </w:r>
      <w:r w:rsidRPr="00A61608">
        <w:rPr>
          <w:rFonts w:ascii="Times New Roman" w:eastAsia="Calibri" w:hAnsi="Times New Roman"/>
          <w:sz w:val="16"/>
          <w:szCs w:val="16"/>
          <w:u w:color="000000"/>
          <w:bdr w:val="nil"/>
          <w:lang w:eastAsia="hr-HR"/>
        </w:rPr>
        <w:t xml:space="preserve"> dostupna na:</w:t>
      </w:r>
      <w:r w:rsidRPr="00C374EC">
        <w:t xml:space="preserve"> </w:t>
      </w:r>
      <w:hyperlink r:id="rId42" w:history="1">
        <w:r w:rsidRPr="00DD1F04">
          <w:rPr>
            <w:rStyle w:val="Hiperveza"/>
            <w:rFonts w:ascii="Times New Roman" w:eastAsiaTheme="minorHAnsi" w:hAnsi="Times New Roman"/>
            <w:color w:val="0000FF"/>
            <w:sz w:val="16"/>
            <w:u w:val="single"/>
            <w:lang w:eastAsia="en-US"/>
          </w:rPr>
          <w:t>https://eur-lex.europa.eu/legal-content/HR/TXT/?uri=CELEX%3A32017R1084</w:t>
        </w:r>
      </w:hyperlink>
      <w:r w:rsidRPr="00C374EC">
        <w:t xml:space="preserve"> </w:t>
      </w:r>
    </w:p>
  </w:footnote>
  <w:footnote w:id="66">
    <w:p w14:paraId="3A73F032" w14:textId="77777777" w:rsidR="00EA4B77" w:rsidRPr="00DD1F04" w:rsidRDefault="00EA4B77" w:rsidP="00604585">
      <w:pPr>
        <w:spacing w:line="240" w:lineRule="auto"/>
        <w:rPr>
          <w:rStyle w:val="Hiperveza"/>
          <w:rFonts w:ascii="Times New Roman" w:eastAsiaTheme="minorHAnsi" w:hAnsi="Times New Roman"/>
          <w:color w:val="0000FF"/>
          <w:sz w:val="16"/>
          <w:u w:val="single"/>
          <w:lang w:eastAsia="en-US"/>
        </w:rPr>
      </w:pPr>
      <w:r w:rsidRPr="00F74659">
        <w:rPr>
          <w:rStyle w:val="Referencafusnote"/>
          <w:rFonts w:ascii="Times New Roman" w:hAnsi="Times New Roman"/>
          <w:sz w:val="16"/>
          <w:szCs w:val="18"/>
        </w:rPr>
        <w:footnoteRef/>
      </w:r>
      <w:r w:rsidRPr="00C374EC">
        <w:t xml:space="preserve"> </w:t>
      </w:r>
      <w:r w:rsidRPr="00F74659">
        <w:rPr>
          <w:rFonts w:ascii="Times New Roman" w:eastAsia="Calibri" w:hAnsi="Times New Roman"/>
          <w:sz w:val="16"/>
          <w:szCs w:val="16"/>
          <w:u w:color="000000"/>
          <w:bdr w:val="nil"/>
          <w:lang w:eastAsia="hr-HR"/>
        </w:rPr>
        <w:t xml:space="preserve">Uredba Komisije (EU) 2020/972 оd 2. srpnja 2020. o izmjeni Uredbe (EU) br. 1407/2013 u pogledu njezina produljenja i o izmjeni Uredbe (EU) br. 651/2014 u pogledu njezina produljenja i odgovarajućih prilagodbi (SL </w:t>
      </w:r>
      <w:r w:rsidRPr="00C971DF">
        <w:rPr>
          <w:rFonts w:ascii="Times New Roman" w:eastAsia="Calibri" w:hAnsi="Times New Roman"/>
          <w:sz w:val="16"/>
          <w:szCs w:val="16"/>
          <w:u w:color="000000"/>
          <w:bdr w:val="nil"/>
          <w:lang w:eastAsia="hr-HR"/>
        </w:rPr>
        <w:t>L 215/3</w:t>
      </w:r>
      <w:r>
        <w:rPr>
          <w:rFonts w:ascii="Times New Roman" w:eastAsia="Calibri" w:hAnsi="Times New Roman"/>
          <w:sz w:val="16"/>
          <w:szCs w:val="16"/>
          <w:u w:color="000000"/>
          <w:bdr w:val="nil"/>
          <w:lang w:eastAsia="hr-HR"/>
        </w:rPr>
        <w:t>, 07.07.2020.)</w:t>
      </w:r>
      <w:r w:rsidRPr="00AC376E">
        <w:rPr>
          <w:rFonts w:ascii="Times New Roman" w:eastAsia="Calibri" w:hAnsi="Times New Roman"/>
          <w:sz w:val="16"/>
          <w:szCs w:val="16"/>
          <w:u w:color="000000"/>
          <w:bdr w:val="nil"/>
          <w:lang w:eastAsia="hr-HR"/>
        </w:rPr>
        <w:t xml:space="preserve">, dostupna na: </w:t>
      </w:r>
      <w:r w:rsidRPr="00DD1F04">
        <w:rPr>
          <w:rStyle w:val="Hiperveza"/>
          <w:rFonts w:ascii="Times New Roman" w:eastAsiaTheme="minorHAnsi" w:hAnsi="Times New Roman"/>
          <w:color w:val="0000FF"/>
          <w:sz w:val="16"/>
          <w:u w:val="single"/>
          <w:lang w:eastAsia="en-US"/>
        </w:rPr>
        <w:t>https://eur-lex.europa.eu/legal-content/hr/TXT/?uri=CELEX%3A32020R0972</w:t>
      </w:r>
    </w:p>
  </w:footnote>
  <w:footnote w:id="67">
    <w:p w14:paraId="60484AB4" w14:textId="242917C0" w:rsidR="00EA4B77" w:rsidRPr="00DD1F04" w:rsidRDefault="00EA4B77">
      <w:pPr>
        <w:pStyle w:val="Tekstfusnote"/>
        <w:rPr>
          <w:rStyle w:val="Hiperveza"/>
          <w:rFonts w:ascii="Times New Roman" w:eastAsiaTheme="minorHAnsi" w:hAnsi="Times New Roman"/>
          <w:color w:val="0000FF"/>
          <w:sz w:val="16"/>
          <w:szCs w:val="24"/>
          <w:u w:val="single"/>
          <w:lang w:eastAsia="en-US"/>
        </w:rPr>
      </w:pPr>
      <w:r>
        <w:rPr>
          <w:rStyle w:val="Referencafusnote"/>
        </w:rPr>
        <w:footnoteRef/>
      </w:r>
      <w:r>
        <w:t xml:space="preserve"> </w:t>
      </w:r>
      <w:r w:rsidRPr="000C556A">
        <w:rPr>
          <w:bCs/>
        </w:rPr>
        <w:t xml:space="preserve">Uredba Komisije (EU) 2021/1237 оd 23. srpnja 2021. o izmjeni Uredbe (EU) br. 651/2014 o ocjenjivanju određenih kategorija potpora spojivima s unutarnjim tržištem u primjeni članaka 107. i 108. Ugovora, dostupno na: </w:t>
      </w:r>
      <w:hyperlink r:id="rId43" w:history="1">
        <w:r w:rsidRPr="00DD1F04">
          <w:rPr>
            <w:rStyle w:val="Hiperveza"/>
            <w:rFonts w:ascii="Times New Roman" w:eastAsiaTheme="minorHAnsi" w:hAnsi="Times New Roman"/>
            <w:color w:val="0000FF"/>
            <w:sz w:val="16"/>
            <w:szCs w:val="24"/>
            <w:u w:val="single"/>
            <w:lang w:eastAsia="en-US"/>
          </w:rPr>
          <w:t>https://eur-lex.europa.eu/legal-content/HR/TXT/PDF/?uri=CELEX:32021R1237&amp;from=HR</w:t>
        </w:r>
      </w:hyperlink>
      <w:r w:rsidRPr="00DD1F04">
        <w:rPr>
          <w:rStyle w:val="Hiperveza"/>
          <w:rFonts w:ascii="Times New Roman" w:eastAsiaTheme="minorHAnsi" w:hAnsi="Times New Roman"/>
          <w:color w:val="0000FF"/>
          <w:sz w:val="16"/>
          <w:szCs w:val="24"/>
          <w:u w:val="single"/>
          <w:lang w:eastAsia="en-US"/>
        </w:rPr>
        <w:t xml:space="preserve"> </w:t>
      </w:r>
    </w:p>
  </w:footnote>
  <w:footnote w:id="68">
    <w:p w14:paraId="0CD26F48" w14:textId="77777777" w:rsidR="00EA4B77" w:rsidRPr="004A7051" w:rsidRDefault="00EA4B77" w:rsidP="00604585">
      <w:pPr>
        <w:pStyle w:val="Tekstfusnote"/>
      </w:pPr>
      <w:r w:rsidRPr="00C374EC">
        <w:rPr>
          <w:rStyle w:val="Referencafusnote"/>
        </w:rPr>
        <w:footnoteRef/>
      </w:r>
      <w:r w:rsidRPr="00C374EC">
        <w:t xml:space="preserve"> Komunikacija </w:t>
      </w:r>
      <w:r w:rsidRPr="004A7051">
        <w:t xml:space="preserve">Komisije – Smjernice o državnim potporama za zaštitu okoliša i energiju za razdoblje 2014.–2020. (2014/C 200/01) (SL C 200/1, 28.6.2014), dostupno na: </w:t>
      </w:r>
      <w:r w:rsidRPr="004A7051">
        <w:rPr>
          <w:rStyle w:val="Hiperveza"/>
          <w:rFonts w:ascii="Times New Roman" w:eastAsiaTheme="minorHAnsi" w:hAnsi="Times New Roman"/>
          <w:color w:val="0000FF"/>
          <w:sz w:val="16"/>
          <w:szCs w:val="24"/>
          <w:u w:val="single"/>
          <w:lang w:eastAsia="en-US"/>
        </w:rPr>
        <w:t>https://eur-lex.europa.eu/legal-content/HR/TXT/?uri=CELEX%3A52014XC0628%2801%29</w:t>
      </w:r>
    </w:p>
  </w:footnote>
  <w:footnote w:id="69">
    <w:p w14:paraId="0003CAB8" w14:textId="77777777" w:rsidR="00EA4B77" w:rsidRPr="004A7051" w:rsidRDefault="00EA4B77" w:rsidP="00604585">
      <w:pPr>
        <w:pStyle w:val="Tekstfusnote"/>
      </w:pPr>
      <w:r w:rsidRPr="004A7051">
        <w:rPr>
          <w:rStyle w:val="Referencafusnote"/>
        </w:rPr>
        <w:footnoteRef/>
      </w:r>
      <w:r w:rsidRPr="004A7051">
        <w:t xml:space="preserve"> Ispravak Komunikacije Komisije – Smjernice o državnim potporama za zaštitu okoliša i energiju za razdoblje 2014.–2020. (SL 290/11 od 10.8.2016.), dostupno na: </w:t>
      </w:r>
      <w:r w:rsidRPr="004A7051">
        <w:rPr>
          <w:rStyle w:val="Hiperveza"/>
          <w:rFonts w:ascii="Times New Roman" w:eastAsiaTheme="minorHAnsi" w:hAnsi="Times New Roman"/>
          <w:color w:val="0000FF"/>
          <w:sz w:val="16"/>
          <w:szCs w:val="24"/>
          <w:u w:val="single"/>
          <w:lang w:eastAsia="en-US"/>
        </w:rPr>
        <w:t>https://eur-lex.europa.eu/legal-content/HR/TXT/?uri=uriserv%3AOJ.C_.2016.290.01.0011.01.HRV&amp;toc=OJ%3AC%3A2016%3A290%3ATOC</w:t>
      </w:r>
    </w:p>
  </w:footnote>
  <w:footnote w:id="70">
    <w:p w14:paraId="2C8492BE" w14:textId="77777777" w:rsidR="00EA4B77" w:rsidRPr="004A7051" w:rsidRDefault="00EA4B77" w:rsidP="00604585">
      <w:pPr>
        <w:pStyle w:val="Tekstfusnote"/>
      </w:pPr>
      <w:r w:rsidRPr="004A7051">
        <w:rPr>
          <w:rStyle w:val="Referencafusnote"/>
        </w:rPr>
        <w:footnoteRef/>
      </w:r>
      <w:r w:rsidRPr="004A7051">
        <w:t xml:space="preserve"> Komunikacija Komisije o produljenju i izmjenama Smjernica (…) (SL C 224/2, 8.7.2020), dostupno na: </w:t>
      </w:r>
      <w:r w:rsidRPr="004A7051">
        <w:rPr>
          <w:rStyle w:val="Hiperveza"/>
          <w:rFonts w:ascii="Times New Roman" w:eastAsiaTheme="minorHAnsi" w:hAnsi="Times New Roman"/>
          <w:color w:val="0000FF"/>
          <w:sz w:val="16"/>
          <w:szCs w:val="24"/>
          <w:u w:val="single"/>
          <w:lang w:eastAsia="en-US"/>
        </w:rPr>
        <w:t>https://eur-lex.europa.eu/legal-content/HR/TXT/?uri=CELEX:52020XC0708(01)</w:t>
      </w:r>
    </w:p>
  </w:footnote>
  <w:footnote w:id="71">
    <w:p w14:paraId="002564E1" w14:textId="77777777" w:rsidR="00EA4B77" w:rsidRPr="004A7051" w:rsidRDefault="00EA4B77" w:rsidP="00705D63">
      <w:pPr>
        <w:pStyle w:val="Tekstfusnote"/>
      </w:pPr>
      <w:r w:rsidRPr="004A7051">
        <w:rPr>
          <w:rStyle w:val="Referencafusnote"/>
        </w:rPr>
        <w:footnoteRef/>
      </w:r>
      <w:r w:rsidRPr="004A7051">
        <w:t xml:space="preserve"> Infrastrukturna analitička mreža, dostupna na: </w:t>
      </w:r>
      <w:hyperlink r:id="rId44" w:history="1">
        <w:r w:rsidRPr="004A7051">
          <w:rPr>
            <w:rStyle w:val="Hiperveza"/>
            <w:rFonts w:ascii="Times New Roman" w:eastAsiaTheme="minorHAnsi" w:hAnsi="Times New Roman"/>
            <w:color w:val="0000FF"/>
            <w:sz w:val="16"/>
            <w:szCs w:val="24"/>
            <w:u w:val="single"/>
            <w:lang w:eastAsia="en-US"/>
          </w:rPr>
          <w:t>https://ec.europa.eu/competition/state_aid/modernisation/intro_grid_en.pdf</w:t>
        </w:r>
      </w:hyperlink>
      <w:r w:rsidRPr="004A7051">
        <w:t xml:space="preserve"> </w:t>
      </w:r>
    </w:p>
  </w:footnote>
  <w:footnote w:id="72">
    <w:p w14:paraId="56720FF3" w14:textId="77777777" w:rsidR="00EA4B77" w:rsidRPr="004A7051" w:rsidRDefault="00EA4B77" w:rsidP="00BC3799">
      <w:pPr>
        <w:pStyle w:val="Tekstfusnote"/>
        <w:rPr>
          <w:rStyle w:val="Hiperveza"/>
          <w:rFonts w:ascii="Times New Roman" w:eastAsiaTheme="minorHAnsi" w:hAnsi="Times New Roman"/>
          <w:color w:val="0000FF"/>
          <w:sz w:val="16"/>
          <w:szCs w:val="24"/>
          <w:u w:val="single"/>
          <w:lang w:eastAsia="en-US"/>
        </w:rPr>
      </w:pPr>
      <w:r w:rsidRPr="004A7051">
        <w:rPr>
          <w:rStyle w:val="Referencafusnote"/>
        </w:rPr>
        <w:footnoteRef/>
      </w:r>
      <w:r w:rsidRPr="004A7051">
        <w:t xml:space="preserve"> Predlošci za državne potpore, dostupno na: </w:t>
      </w:r>
      <w:hyperlink r:id="rId45" w:history="1">
        <w:r w:rsidRPr="004A7051">
          <w:rPr>
            <w:rStyle w:val="Hiperveza"/>
            <w:rFonts w:ascii="Times New Roman" w:eastAsiaTheme="minorHAnsi" w:hAnsi="Times New Roman"/>
            <w:color w:val="0000FF"/>
            <w:sz w:val="16"/>
            <w:szCs w:val="24"/>
            <w:u w:val="single"/>
            <w:lang w:eastAsia="en-US"/>
          </w:rPr>
          <w:t>https://mfin.gov.hr/istaknute-teme/koncesije-drzavne-potpore /drzavne-potpore/drzavne-potpore-i-plan-oporavka-i-otpornosti/3141</w:t>
        </w:r>
      </w:hyperlink>
      <w:r w:rsidRPr="004A7051">
        <w:rPr>
          <w:rStyle w:val="Hiperveza"/>
          <w:rFonts w:ascii="Times New Roman" w:eastAsiaTheme="minorHAnsi" w:hAnsi="Times New Roman"/>
          <w:color w:val="0000FF"/>
          <w:sz w:val="16"/>
          <w:szCs w:val="24"/>
          <w:u w:val="single"/>
          <w:lang w:eastAsia="en-US"/>
        </w:rPr>
        <w:t xml:space="preserve"> </w:t>
      </w:r>
    </w:p>
  </w:footnote>
  <w:footnote w:id="73">
    <w:p w14:paraId="70DAC1FA" w14:textId="58A83239" w:rsidR="00EA4B77" w:rsidRPr="004A7051" w:rsidRDefault="00EA4B77" w:rsidP="00BC3799">
      <w:pPr>
        <w:pStyle w:val="Tekstfusnote"/>
      </w:pPr>
      <w:r w:rsidRPr="004A7051">
        <w:rPr>
          <w:rStyle w:val="Referencafusnote"/>
        </w:rPr>
        <w:footnoteRef/>
      </w:r>
      <w:r w:rsidRPr="004A7051">
        <w:t xml:space="preserve"> </w:t>
      </w:r>
      <w:r w:rsidRPr="00E21DAA">
        <w:t>Godišnj</w:t>
      </w:r>
      <w:r>
        <w:t>a</w:t>
      </w:r>
      <w:r w:rsidRPr="00E21DAA">
        <w:t xml:space="preserve"> strategij</w:t>
      </w:r>
      <w:r>
        <w:t>a</w:t>
      </w:r>
      <w:r w:rsidRPr="00E21DAA">
        <w:t xml:space="preserve"> održivog rasta 2021</w:t>
      </w:r>
      <w:r>
        <w:t xml:space="preserve">, dostupno na: </w:t>
      </w:r>
      <w:r w:rsidRPr="00E21DAA">
        <w:rPr>
          <w:rStyle w:val="Hiperveza"/>
          <w:rFonts w:ascii="Times New Roman" w:eastAsiaTheme="minorHAnsi" w:hAnsi="Times New Roman"/>
          <w:color w:val="0000FF"/>
          <w:sz w:val="16"/>
          <w:szCs w:val="24"/>
          <w:u w:val="single"/>
          <w:lang w:eastAsia="en-US"/>
        </w:rPr>
        <w:t>https://eur-lex.europa.eu/legal-content/en/TXT/?qid=1600708827568&amp;uri=CELEX:52020DC0575</w:t>
      </w:r>
    </w:p>
  </w:footnote>
  <w:footnote w:id="74">
    <w:p w14:paraId="45D06288" w14:textId="77777777" w:rsidR="00EA4B77" w:rsidRDefault="00EA4B77">
      <w:pPr>
        <w:pStyle w:val="Tekstfusnote"/>
      </w:pPr>
      <w:r>
        <w:rPr>
          <w:rStyle w:val="Referencafusnote"/>
        </w:rPr>
        <w:footnoteRef/>
      </w:r>
      <w:r>
        <w:t xml:space="preserve"> Komunikacija Komisije Europskom parlamentu, Vijeću, Europskom gospodarskom i socijalnom odboru i Odboru regija: Okvir za praćenje kružnog gospodarstva</w:t>
      </w:r>
      <w:r>
        <w:rPr>
          <w:rFonts w:ascii="Calibri" w:eastAsia="Times New Roman" w:hAnsi="Calibri"/>
          <w:sz w:val="22"/>
          <w:szCs w:val="24"/>
          <w:lang w:eastAsia="en-GB"/>
        </w:rPr>
        <w:t xml:space="preserve"> </w:t>
      </w:r>
      <w:r>
        <w:t>(COM(2018) 29 final)</w:t>
      </w:r>
      <w:r>
        <w:rPr>
          <w:rFonts w:ascii="Calibri" w:eastAsia="Times New Roman" w:hAnsi="Calibri"/>
          <w:sz w:val="22"/>
          <w:szCs w:val="24"/>
          <w:lang w:eastAsia="en-GB"/>
        </w:rPr>
        <w:t xml:space="preserve"> </w:t>
      </w:r>
      <w:r>
        <w:t>od 16.1.2018. godine, dostupno na:</w:t>
      </w:r>
    </w:p>
    <w:p w14:paraId="45D06289" w14:textId="77777777" w:rsidR="00EA4B77" w:rsidRDefault="00EA4B77">
      <w:pPr>
        <w:spacing w:line="240" w:lineRule="auto"/>
        <w:jc w:val="left"/>
      </w:pPr>
      <w:r>
        <w:t xml:space="preserve"> </w:t>
      </w:r>
      <w:hyperlink r:id="rId46" w:history="1">
        <w:r>
          <w:rPr>
            <w:rStyle w:val="Hiperveza"/>
            <w:rFonts w:ascii="Times New Roman" w:eastAsiaTheme="minorHAnsi" w:hAnsi="Times New Roman"/>
            <w:color w:val="0000FF"/>
            <w:sz w:val="16"/>
            <w:u w:val="single"/>
            <w:lang w:eastAsia="en-US"/>
          </w:rPr>
          <w:t>https://eur-lex.europa.eu/legal-content/HR/TXT/PDF/?uri=CELEX:52018DC0029&amp;from=EN</w:t>
        </w:r>
      </w:hyperlink>
      <w:r>
        <w:t xml:space="preserve"> </w:t>
      </w:r>
    </w:p>
  </w:footnote>
  <w:footnote w:id="75">
    <w:p w14:paraId="45D0628A" w14:textId="77777777" w:rsidR="00EA4B77" w:rsidRDefault="00EA4B77">
      <w:pPr>
        <w:pStyle w:val="Tekstfusnote"/>
      </w:pPr>
      <w:r>
        <w:rPr>
          <w:rStyle w:val="Referencafusnote"/>
        </w:rPr>
        <w:footnoteRef/>
      </w:r>
      <w:r>
        <w:t xml:space="preserve"> ERDF &amp; CF Pokazatelji / European Regional Development Fund &amp; Cohesion Fund Indicators, dostupno na: </w:t>
      </w:r>
      <w:hyperlink r:id="rId47" w:history="1">
        <w:r>
          <w:rPr>
            <w:rStyle w:val="Hiperveza"/>
            <w:rFonts w:ascii="Times New Roman" w:eastAsiaTheme="minorHAnsi" w:hAnsi="Times New Roman"/>
            <w:color w:val="0000FF"/>
            <w:sz w:val="16"/>
            <w:szCs w:val="24"/>
            <w:u w:val="single"/>
            <w:lang w:eastAsia="en-US"/>
          </w:rPr>
          <w:t>https://ec.europa.eu/regional_policy/sources/docgener/evaluation/doc/29112018/6_Indicators2021_evalnet.pdf</w:t>
        </w:r>
      </w:hyperlink>
      <w:r>
        <w:t xml:space="preserve"> </w:t>
      </w:r>
    </w:p>
  </w:footnote>
  <w:footnote w:id="76">
    <w:p w14:paraId="32A3D18B" w14:textId="77777777" w:rsidR="00F94158" w:rsidRPr="006201A2" w:rsidRDefault="00F94158" w:rsidP="00F94158">
      <w:pPr>
        <w:pStyle w:val="Tekstfusnote"/>
      </w:pPr>
      <w:r w:rsidRPr="00C77E34">
        <w:rPr>
          <w:rStyle w:val="Referencafusnote"/>
        </w:rPr>
        <w:footnoteRef/>
      </w:r>
      <w:r w:rsidRPr="00C77E34">
        <w:t xml:space="preserve"> Mehanizam za oporavak i otpornost, dostu</w:t>
      </w:r>
      <w:r w:rsidRPr="006201A2">
        <w:t xml:space="preserve">pno na </w:t>
      </w:r>
      <w:hyperlink r:id="rId48" w:history="1">
        <w:r w:rsidRPr="003C6BC9">
          <w:rPr>
            <w:rStyle w:val="Hiperveza"/>
            <w:rFonts w:ascii="Times New Roman" w:hAnsi="Times New Roman"/>
            <w:sz w:val="16"/>
          </w:rPr>
          <w:t>https://ec.europa.eu/croatia/news/croatia_submits_official_recovery_and_resilience_plans_hr</w:t>
        </w:r>
      </w:hyperlink>
      <w:r w:rsidRPr="00C77E34">
        <w:t xml:space="preserve"> </w:t>
      </w:r>
    </w:p>
  </w:footnote>
  <w:footnote w:id="77">
    <w:p w14:paraId="51AAA167" w14:textId="77777777" w:rsidR="00F94158" w:rsidRPr="003623F1" w:rsidRDefault="00F94158" w:rsidP="00F94158">
      <w:pPr>
        <w:pStyle w:val="Tekstfusnote"/>
      </w:pPr>
      <w:r w:rsidRPr="00C77E34">
        <w:rPr>
          <w:rStyle w:val="Referencafusnote"/>
        </w:rPr>
        <w:footnoteRef/>
      </w:r>
      <w:r w:rsidRPr="00C77E34">
        <w:t xml:space="preserve"> Nacionalni plan oporavka i otpornosti, dostupn</w:t>
      </w:r>
      <w:r w:rsidRPr="006201A2">
        <w:t xml:space="preserve">o na: </w:t>
      </w:r>
      <w:hyperlink r:id="rId49" w:history="1">
        <w:r w:rsidRPr="003C6BC9">
          <w:rPr>
            <w:rStyle w:val="Hiperveza"/>
            <w:rFonts w:ascii="Times New Roman" w:hAnsi="Times New Roman"/>
            <w:sz w:val="16"/>
          </w:rPr>
          <w:t>https://planoporavka.gov.hr/</w:t>
        </w:r>
      </w:hyperlink>
      <w:r>
        <w:t xml:space="preserve"> </w:t>
      </w:r>
    </w:p>
  </w:footnote>
  <w:footnote w:id="78">
    <w:p w14:paraId="7BB1B991" w14:textId="2333D615" w:rsidR="00EA4B77" w:rsidRPr="00E21DAA" w:rsidRDefault="00EA4B77">
      <w:pPr>
        <w:pStyle w:val="Tekstfusnote"/>
        <w:rPr>
          <w:rStyle w:val="Hiperveza"/>
          <w:rFonts w:ascii="Times New Roman" w:eastAsiaTheme="minorHAnsi" w:hAnsi="Times New Roman"/>
          <w:color w:val="0000FF"/>
          <w:sz w:val="16"/>
          <w:szCs w:val="24"/>
          <w:u w:val="single"/>
          <w:lang w:eastAsia="en-US"/>
        </w:rPr>
      </w:pPr>
      <w:r>
        <w:rPr>
          <w:rStyle w:val="Referencafusnote"/>
        </w:rPr>
        <w:footnoteRef/>
      </w:r>
      <w:r>
        <w:t xml:space="preserve"> </w:t>
      </w:r>
      <w:r w:rsidRPr="009F2C6E">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r>
        <w:t xml:space="preserve">, dostupno na: </w:t>
      </w:r>
      <w:r w:rsidRPr="00E21DAA">
        <w:rPr>
          <w:rStyle w:val="Hiperveza"/>
          <w:rFonts w:ascii="Times New Roman" w:eastAsiaTheme="minorHAnsi" w:hAnsi="Times New Roman"/>
          <w:color w:val="0000FF"/>
          <w:sz w:val="16"/>
          <w:szCs w:val="24"/>
          <w:u w:val="single"/>
          <w:lang w:eastAsia="en-US"/>
        </w:rPr>
        <w:t>https://eur-lex.europa.eu/legal-content/HR/TXT/PDF/?uri=CELEX:32021R1060&amp;from=HR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6235" w14:textId="10EABAC5" w:rsidR="00EA4B77" w:rsidRDefault="00EA4B77">
    <w:pPr>
      <w:pStyle w:val="Zaglavlje"/>
      <w:jc w:val="center"/>
      <w:rPr>
        <w:rFonts w:ascii="Times New Roman" w:hAnsi="Times New Roman" w:cs="Times New Roman"/>
      </w:rPr>
    </w:pPr>
    <w:r>
      <w:rPr>
        <w:rFonts w:ascii="Times New Roman" w:hAnsi="Times New Roman" w:cs="Times New Roman"/>
        <w:sz w:val="16"/>
        <w:szCs w:val="16"/>
      </w:rPr>
      <w:t>Nacrt konačnog prijedloga Programa razvoja kružnog gospodarenja prostorom i zgradama za razdoblje 2021. do 2030. godine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2457"/>
    <w:multiLevelType w:val="multilevel"/>
    <w:tmpl w:val="008524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04629"/>
    <w:multiLevelType w:val="multilevel"/>
    <w:tmpl w:val="013046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2713EF"/>
    <w:multiLevelType w:val="multilevel"/>
    <w:tmpl w:val="03271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9E40C1"/>
    <w:multiLevelType w:val="multilevel"/>
    <w:tmpl w:val="049E4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1B1C79"/>
    <w:multiLevelType w:val="multilevel"/>
    <w:tmpl w:val="081B1C79"/>
    <w:lvl w:ilvl="0">
      <w:start w:val="1"/>
      <w:numFmt w:val="decimal"/>
      <w:lvlText w:val="%1."/>
      <w:lvlJc w:val="left"/>
      <w:pPr>
        <w:ind w:left="360" w:hanging="360"/>
      </w:pPr>
    </w:lvl>
    <w:lvl w:ilvl="1">
      <w:start w:val="1"/>
      <w:numFmt w:val="decimal"/>
      <w:pStyle w:val="Naslov5"/>
      <w:lvlText w:val="%1.%2."/>
      <w:lvlJc w:val="left"/>
      <w:pPr>
        <w:ind w:left="792" w:hanging="432"/>
      </w:pPr>
    </w:lvl>
    <w:lvl w:ilvl="2">
      <w:start w:val="1"/>
      <w:numFmt w:val="decimal"/>
      <w:pStyle w:val="Naslov6"/>
      <w:lvlText w:val="%1.%2.%3."/>
      <w:lvlJc w:val="left"/>
      <w:pPr>
        <w:ind w:left="1224" w:hanging="504"/>
      </w:pPr>
    </w:lvl>
    <w:lvl w:ilvl="3">
      <w:start w:val="1"/>
      <w:numFmt w:val="decimal"/>
      <w:pStyle w:val="Naslov7"/>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706FB5"/>
    <w:multiLevelType w:val="multilevel"/>
    <w:tmpl w:val="0B706FB5"/>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CD7A59"/>
    <w:multiLevelType w:val="multilevel"/>
    <w:tmpl w:val="0ECD7A59"/>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130C61"/>
    <w:multiLevelType w:val="multilevel"/>
    <w:tmpl w:val="12130C61"/>
    <w:lvl w:ilvl="0">
      <w:start w:val="1"/>
      <w:numFmt w:val="lowerLetter"/>
      <w:lvlText w:val="%1."/>
      <w:lvlJc w:val="left"/>
      <w:pPr>
        <w:ind w:left="6030" w:hanging="360"/>
      </w:pPr>
    </w:lvl>
    <w:lvl w:ilvl="1">
      <w:start w:val="1"/>
      <w:numFmt w:val="lowerLetter"/>
      <w:lvlText w:val="%2."/>
      <w:lvlJc w:val="left"/>
      <w:pPr>
        <w:ind w:left="6750" w:hanging="360"/>
      </w:pPr>
    </w:lvl>
    <w:lvl w:ilvl="2">
      <w:start w:val="1"/>
      <w:numFmt w:val="lowerRoman"/>
      <w:lvlText w:val="%3."/>
      <w:lvlJc w:val="right"/>
      <w:pPr>
        <w:ind w:left="7470" w:hanging="180"/>
      </w:pPr>
    </w:lvl>
    <w:lvl w:ilvl="3">
      <w:start w:val="1"/>
      <w:numFmt w:val="decimal"/>
      <w:lvlText w:val="%4."/>
      <w:lvlJc w:val="left"/>
      <w:pPr>
        <w:ind w:left="8190" w:hanging="360"/>
      </w:pPr>
    </w:lvl>
    <w:lvl w:ilvl="4">
      <w:start w:val="1"/>
      <w:numFmt w:val="lowerLetter"/>
      <w:lvlText w:val="%5."/>
      <w:lvlJc w:val="left"/>
      <w:pPr>
        <w:ind w:left="8910" w:hanging="360"/>
      </w:pPr>
    </w:lvl>
    <w:lvl w:ilvl="5">
      <w:start w:val="1"/>
      <w:numFmt w:val="lowerRoman"/>
      <w:lvlText w:val="%6."/>
      <w:lvlJc w:val="right"/>
      <w:pPr>
        <w:ind w:left="9630" w:hanging="180"/>
      </w:pPr>
    </w:lvl>
    <w:lvl w:ilvl="6">
      <w:start w:val="1"/>
      <w:numFmt w:val="decimal"/>
      <w:lvlText w:val="%7."/>
      <w:lvlJc w:val="left"/>
      <w:pPr>
        <w:ind w:left="10350" w:hanging="360"/>
      </w:pPr>
    </w:lvl>
    <w:lvl w:ilvl="7">
      <w:start w:val="1"/>
      <w:numFmt w:val="lowerLetter"/>
      <w:lvlText w:val="%8."/>
      <w:lvlJc w:val="left"/>
      <w:pPr>
        <w:ind w:left="11070" w:hanging="360"/>
      </w:pPr>
    </w:lvl>
    <w:lvl w:ilvl="8">
      <w:start w:val="1"/>
      <w:numFmt w:val="lowerRoman"/>
      <w:lvlText w:val="%9."/>
      <w:lvlJc w:val="right"/>
      <w:pPr>
        <w:ind w:left="11790" w:hanging="180"/>
      </w:pPr>
    </w:lvl>
  </w:abstractNum>
  <w:abstractNum w:abstractNumId="8" w15:restartNumberingAfterBreak="0">
    <w:nsid w:val="1682251D"/>
    <w:multiLevelType w:val="multilevel"/>
    <w:tmpl w:val="1682251D"/>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1A6072"/>
    <w:multiLevelType w:val="multilevel"/>
    <w:tmpl w:val="181A607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1050F3"/>
    <w:multiLevelType w:val="multilevel"/>
    <w:tmpl w:val="1F1050F3"/>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301343"/>
    <w:multiLevelType w:val="multilevel"/>
    <w:tmpl w:val="203013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3D015D"/>
    <w:multiLevelType w:val="multilevel"/>
    <w:tmpl w:val="203D015D"/>
    <w:lvl w:ilvl="0">
      <w:start w:val="1"/>
      <w:numFmt w:val="decimal"/>
      <w:pStyle w:val="Ilustracijapotpis"/>
      <w:lvlText w:val="%1."/>
      <w:lvlJc w:val="left"/>
      <w:pPr>
        <w:ind w:left="720" w:hanging="360"/>
      </w:pPr>
      <w:rPr>
        <w:rFonts w:ascii="Calibri" w:hAnsi="Calibri" w:cs="Futura Lt BT"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17172"/>
    <w:multiLevelType w:val="multilevel"/>
    <w:tmpl w:val="20617172"/>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995076"/>
    <w:multiLevelType w:val="multilevel"/>
    <w:tmpl w:val="2B99507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5C1CB6"/>
    <w:multiLevelType w:val="multilevel"/>
    <w:tmpl w:val="2F5C1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FC26856"/>
    <w:multiLevelType w:val="multilevel"/>
    <w:tmpl w:val="2FC26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0E0E95"/>
    <w:multiLevelType w:val="multilevel"/>
    <w:tmpl w:val="320E0E9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32BD2953"/>
    <w:multiLevelType w:val="multilevel"/>
    <w:tmpl w:val="32BD29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C14FA"/>
    <w:multiLevelType w:val="multilevel"/>
    <w:tmpl w:val="383C14FA"/>
    <w:lvl w:ilvl="0">
      <w:start w:val="1"/>
      <w:numFmt w:val="decimal"/>
      <w:pStyle w:val="Naslov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2752DD"/>
    <w:multiLevelType w:val="multilevel"/>
    <w:tmpl w:val="3C2752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CAA0DE3"/>
    <w:multiLevelType w:val="multilevel"/>
    <w:tmpl w:val="3CAA0DE3"/>
    <w:lvl w:ilvl="0">
      <w:start w:val="1"/>
      <w:numFmt w:val="bullet"/>
      <w:lvlText w:val="-"/>
      <w:lvlJc w:val="left"/>
      <w:pPr>
        <w:ind w:left="1440" w:hanging="360"/>
      </w:pPr>
      <w:rPr>
        <w:rFonts w:ascii="Symbol" w:eastAsiaTheme="minorHAnsi" w:hAnsi="Symbol"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421C5C77"/>
    <w:multiLevelType w:val="multilevel"/>
    <w:tmpl w:val="421C5C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7E67BB"/>
    <w:multiLevelType w:val="multilevel"/>
    <w:tmpl w:val="477E67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C16729"/>
    <w:multiLevelType w:val="multilevel"/>
    <w:tmpl w:val="48C16729"/>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EE74BE"/>
    <w:multiLevelType w:val="multilevel"/>
    <w:tmpl w:val="49EE74BE"/>
    <w:lvl w:ilvl="0">
      <w:start w:val="1"/>
      <w:numFmt w:val="decimal"/>
      <w:pStyle w:val="Naslov10"/>
      <w:lvlText w:val="%1."/>
      <w:lvlJc w:val="left"/>
      <w:pPr>
        <w:ind w:left="1070" w:hanging="360"/>
      </w:pPr>
      <w:rPr>
        <w:rFonts w:ascii="Times New Roman" w:hAnsi="Times New Roman" w:cs="Times New Roman" w:hint="default"/>
      </w:rPr>
    </w:lvl>
    <w:lvl w:ilvl="1">
      <w:start w:val="1"/>
      <w:numFmt w:val="decimal"/>
      <w:pStyle w:val="Naslov2"/>
      <w:lvlText w:val="%1.%2."/>
      <w:lvlJc w:val="left"/>
      <w:pPr>
        <w:ind w:left="1288" w:hanging="720"/>
      </w:pPr>
    </w:lvl>
    <w:lvl w:ilvl="2">
      <w:start w:val="1"/>
      <w:numFmt w:val="decimal"/>
      <w:lvlText w:val="%1.%2.%3."/>
      <w:lvlJc w:val="left"/>
      <w:pPr>
        <w:ind w:left="1440" w:hanging="1080"/>
      </w:pPr>
      <w:rPr>
        <w:strike w:val="0"/>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BE37584"/>
    <w:multiLevelType w:val="multilevel"/>
    <w:tmpl w:val="4BE37584"/>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BA6AFC"/>
    <w:multiLevelType w:val="multilevel"/>
    <w:tmpl w:val="4EBA6A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C04E28"/>
    <w:multiLevelType w:val="multilevel"/>
    <w:tmpl w:val="4FC04E2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C763BF1"/>
    <w:multiLevelType w:val="multilevel"/>
    <w:tmpl w:val="6C763B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F6FC4"/>
    <w:multiLevelType w:val="multilevel"/>
    <w:tmpl w:val="6C8F6FC4"/>
    <w:lvl w:ilvl="0">
      <w:start w:val="1"/>
      <w:numFmt w:val="bullet"/>
      <w:lvlText w:val="-"/>
      <w:lvlJc w:val="left"/>
      <w:pPr>
        <w:ind w:left="1440" w:hanging="360"/>
      </w:pPr>
      <w:rPr>
        <w:rFonts w:ascii="Symbol" w:eastAsiaTheme="minorHAnsi" w:hAnsi="Symbol"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15:restartNumberingAfterBreak="0">
    <w:nsid w:val="6EDE19C7"/>
    <w:multiLevelType w:val="multilevel"/>
    <w:tmpl w:val="6EDE19C7"/>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53E1ACF"/>
    <w:multiLevelType w:val="multilevel"/>
    <w:tmpl w:val="753E1A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56449AA"/>
    <w:multiLevelType w:val="multilevel"/>
    <w:tmpl w:val="756449AA"/>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D44A0F"/>
    <w:multiLevelType w:val="multilevel"/>
    <w:tmpl w:val="77D44A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4"/>
  </w:num>
  <w:num w:numId="4">
    <w:abstractNumId w:val="12"/>
  </w:num>
  <w:num w:numId="5">
    <w:abstractNumId w:val="17"/>
  </w:num>
  <w:num w:numId="6">
    <w:abstractNumId w:val="11"/>
  </w:num>
  <w:num w:numId="7">
    <w:abstractNumId w:val="3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
  </w:num>
  <w:num w:numId="11">
    <w:abstractNumId w:val="29"/>
  </w:num>
  <w:num w:numId="12">
    <w:abstractNumId w:val="34"/>
  </w:num>
  <w:num w:numId="13">
    <w:abstractNumId w:val="18"/>
  </w:num>
  <w:num w:numId="14">
    <w:abstractNumId w:val="3"/>
  </w:num>
  <w:num w:numId="15">
    <w:abstractNumId w:val="24"/>
  </w:num>
  <w:num w:numId="16">
    <w:abstractNumId w:val="7"/>
  </w:num>
  <w:num w:numId="17">
    <w:abstractNumId w:val="0"/>
  </w:num>
  <w:num w:numId="18">
    <w:abstractNumId w:val="21"/>
  </w:num>
  <w:num w:numId="19">
    <w:abstractNumId w:val="30"/>
  </w:num>
  <w:num w:numId="20">
    <w:abstractNumId w:val="23"/>
  </w:num>
  <w:num w:numId="21">
    <w:abstractNumId w:val="1"/>
  </w:num>
  <w:num w:numId="22">
    <w:abstractNumId w:val="13"/>
  </w:num>
  <w:num w:numId="23">
    <w:abstractNumId w:val="16"/>
  </w:num>
  <w:num w:numId="24">
    <w:abstractNumId w:val="27"/>
  </w:num>
  <w:num w:numId="25">
    <w:abstractNumId w:val="31"/>
  </w:num>
  <w:num w:numId="26">
    <w:abstractNumId w:val="9"/>
  </w:num>
  <w:num w:numId="27">
    <w:abstractNumId w:val="5"/>
  </w:num>
  <w:num w:numId="28">
    <w:abstractNumId w:val="10"/>
  </w:num>
  <w:num w:numId="29">
    <w:abstractNumId w:val="8"/>
  </w:num>
  <w:num w:numId="30">
    <w:abstractNumId w:val="6"/>
  </w:num>
  <w:num w:numId="31">
    <w:abstractNumId w:val="28"/>
  </w:num>
  <w:num w:numId="32">
    <w:abstractNumId w:val="14"/>
  </w:num>
  <w:num w:numId="33">
    <w:abstractNumId w:val="20"/>
  </w:num>
  <w:num w:numId="34">
    <w:abstractNumId w:val="33"/>
  </w:num>
  <w:num w:numId="35">
    <w:abstractNumId w:val="2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97"/>
    <w:rsid w:val="0000017E"/>
    <w:rsid w:val="00001160"/>
    <w:rsid w:val="00001166"/>
    <w:rsid w:val="00001226"/>
    <w:rsid w:val="000018D1"/>
    <w:rsid w:val="0000195A"/>
    <w:rsid w:val="000026CE"/>
    <w:rsid w:val="00002912"/>
    <w:rsid w:val="0000293A"/>
    <w:rsid w:val="000029AA"/>
    <w:rsid w:val="00002BF7"/>
    <w:rsid w:val="00002D5B"/>
    <w:rsid w:val="00002DDE"/>
    <w:rsid w:val="00002EEC"/>
    <w:rsid w:val="000038DD"/>
    <w:rsid w:val="000040A1"/>
    <w:rsid w:val="00004787"/>
    <w:rsid w:val="00004A72"/>
    <w:rsid w:val="00006937"/>
    <w:rsid w:val="00006DD1"/>
    <w:rsid w:val="00007199"/>
    <w:rsid w:val="0000733F"/>
    <w:rsid w:val="00007855"/>
    <w:rsid w:val="000078FE"/>
    <w:rsid w:val="00007CD8"/>
    <w:rsid w:val="0001063E"/>
    <w:rsid w:val="000108C0"/>
    <w:rsid w:val="000108C1"/>
    <w:rsid w:val="00010BB3"/>
    <w:rsid w:val="00011007"/>
    <w:rsid w:val="000116C9"/>
    <w:rsid w:val="00011B46"/>
    <w:rsid w:val="000122A6"/>
    <w:rsid w:val="000124EF"/>
    <w:rsid w:val="00012F12"/>
    <w:rsid w:val="0001311A"/>
    <w:rsid w:val="0001353F"/>
    <w:rsid w:val="000141C6"/>
    <w:rsid w:val="00014314"/>
    <w:rsid w:val="00014CA5"/>
    <w:rsid w:val="00014DE6"/>
    <w:rsid w:val="0001519C"/>
    <w:rsid w:val="00015454"/>
    <w:rsid w:val="000155B5"/>
    <w:rsid w:val="00015B6B"/>
    <w:rsid w:val="00015BFA"/>
    <w:rsid w:val="00015C6E"/>
    <w:rsid w:val="00015E1D"/>
    <w:rsid w:val="0001610E"/>
    <w:rsid w:val="00016BDB"/>
    <w:rsid w:val="000178DD"/>
    <w:rsid w:val="000179FF"/>
    <w:rsid w:val="00017E46"/>
    <w:rsid w:val="00020566"/>
    <w:rsid w:val="000209D9"/>
    <w:rsid w:val="00020C2B"/>
    <w:rsid w:val="00020D05"/>
    <w:rsid w:val="000212E5"/>
    <w:rsid w:val="000216AF"/>
    <w:rsid w:val="00022613"/>
    <w:rsid w:val="00022BB1"/>
    <w:rsid w:val="00022D1A"/>
    <w:rsid w:val="000234E9"/>
    <w:rsid w:val="00023984"/>
    <w:rsid w:val="00023B71"/>
    <w:rsid w:val="00025E5F"/>
    <w:rsid w:val="00026185"/>
    <w:rsid w:val="000262DA"/>
    <w:rsid w:val="00026374"/>
    <w:rsid w:val="000265A0"/>
    <w:rsid w:val="00026E85"/>
    <w:rsid w:val="00027A14"/>
    <w:rsid w:val="00027EC9"/>
    <w:rsid w:val="0003126E"/>
    <w:rsid w:val="000319A7"/>
    <w:rsid w:val="00031C73"/>
    <w:rsid w:val="000325F3"/>
    <w:rsid w:val="00032E6D"/>
    <w:rsid w:val="00032E81"/>
    <w:rsid w:val="0003302A"/>
    <w:rsid w:val="00033237"/>
    <w:rsid w:val="00033300"/>
    <w:rsid w:val="000333E6"/>
    <w:rsid w:val="00033620"/>
    <w:rsid w:val="00033C85"/>
    <w:rsid w:val="00033CB6"/>
    <w:rsid w:val="00034CA7"/>
    <w:rsid w:val="00034DDC"/>
    <w:rsid w:val="00035447"/>
    <w:rsid w:val="00035BDD"/>
    <w:rsid w:val="00035C18"/>
    <w:rsid w:val="00035CE4"/>
    <w:rsid w:val="00036366"/>
    <w:rsid w:val="0003678B"/>
    <w:rsid w:val="0003681F"/>
    <w:rsid w:val="000370AD"/>
    <w:rsid w:val="00037203"/>
    <w:rsid w:val="0003788B"/>
    <w:rsid w:val="000378CB"/>
    <w:rsid w:val="00037FB2"/>
    <w:rsid w:val="0004081C"/>
    <w:rsid w:val="00041299"/>
    <w:rsid w:val="0004133E"/>
    <w:rsid w:val="00041349"/>
    <w:rsid w:val="00041DA1"/>
    <w:rsid w:val="000421AC"/>
    <w:rsid w:val="0004226D"/>
    <w:rsid w:val="00042EB8"/>
    <w:rsid w:val="00042FC0"/>
    <w:rsid w:val="000439A2"/>
    <w:rsid w:val="00043A52"/>
    <w:rsid w:val="00044AC4"/>
    <w:rsid w:val="00044CAA"/>
    <w:rsid w:val="00044F7C"/>
    <w:rsid w:val="00044FB3"/>
    <w:rsid w:val="00045B3D"/>
    <w:rsid w:val="00045F6A"/>
    <w:rsid w:val="00045FF8"/>
    <w:rsid w:val="000460F2"/>
    <w:rsid w:val="00046604"/>
    <w:rsid w:val="00047212"/>
    <w:rsid w:val="00047571"/>
    <w:rsid w:val="00047805"/>
    <w:rsid w:val="000504AD"/>
    <w:rsid w:val="00050601"/>
    <w:rsid w:val="00050F73"/>
    <w:rsid w:val="000518D5"/>
    <w:rsid w:val="00051D4B"/>
    <w:rsid w:val="0005275A"/>
    <w:rsid w:val="00052782"/>
    <w:rsid w:val="00053392"/>
    <w:rsid w:val="0005355B"/>
    <w:rsid w:val="00053810"/>
    <w:rsid w:val="000538A2"/>
    <w:rsid w:val="00053AD3"/>
    <w:rsid w:val="00053D59"/>
    <w:rsid w:val="00054372"/>
    <w:rsid w:val="00054891"/>
    <w:rsid w:val="00054F3B"/>
    <w:rsid w:val="00056889"/>
    <w:rsid w:val="00057A4F"/>
    <w:rsid w:val="00057D60"/>
    <w:rsid w:val="00057F3E"/>
    <w:rsid w:val="000600EF"/>
    <w:rsid w:val="00060574"/>
    <w:rsid w:val="00060612"/>
    <w:rsid w:val="00060AD8"/>
    <w:rsid w:val="000610BE"/>
    <w:rsid w:val="000610F9"/>
    <w:rsid w:val="00061351"/>
    <w:rsid w:val="0006164E"/>
    <w:rsid w:val="00061991"/>
    <w:rsid w:val="00061B21"/>
    <w:rsid w:val="00061EE5"/>
    <w:rsid w:val="0006253D"/>
    <w:rsid w:val="00063030"/>
    <w:rsid w:val="000630AB"/>
    <w:rsid w:val="00064302"/>
    <w:rsid w:val="000645FB"/>
    <w:rsid w:val="00064990"/>
    <w:rsid w:val="00064DAA"/>
    <w:rsid w:val="0006500D"/>
    <w:rsid w:val="00065677"/>
    <w:rsid w:val="00065B1A"/>
    <w:rsid w:val="000667A7"/>
    <w:rsid w:val="00066F9A"/>
    <w:rsid w:val="00067659"/>
    <w:rsid w:val="00067B16"/>
    <w:rsid w:val="00067B18"/>
    <w:rsid w:val="000704B8"/>
    <w:rsid w:val="0007092E"/>
    <w:rsid w:val="0007143F"/>
    <w:rsid w:val="00071557"/>
    <w:rsid w:val="0007240C"/>
    <w:rsid w:val="000724BE"/>
    <w:rsid w:val="000725A0"/>
    <w:rsid w:val="000727A9"/>
    <w:rsid w:val="00072B5C"/>
    <w:rsid w:val="00072F4F"/>
    <w:rsid w:val="0007438F"/>
    <w:rsid w:val="0007464F"/>
    <w:rsid w:val="00074BC7"/>
    <w:rsid w:val="0007576B"/>
    <w:rsid w:val="00075881"/>
    <w:rsid w:val="00075CA0"/>
    <w:rsid w:val="00075EE4"/>
    <w:rsid w:val="00076441"/>
    <w:rsid w:val="0007658A"/>
    <w:rsid w:val="0007673E"/>
    <w:rsid w:val="00076AA7"/>
    <w:rsid w:val="00076F17"/>
    <w:rsid w:val="00077418"/>
    <w:rsid w:val="0007768D"/>
    <w:rsid w:val="000779FD"/>
    <w:rsid w:val="00077AB7"/>
    <w:rsid w:val="00077BB3"/>
    <w:rsid w:val="0008082E"/>
    <w:rsid w:val="00080A3D"/>
    <w:rsid w:val="00081007"/>
    <w:rsid w:val="00081199"/>
    <w:rsid w:val="000815FA"/>
    <w:rsid w:val="00081D66"/>
    <w:rsid w:val="00081FA9"/>
    <w:rsid w:val="000825D1"/>
    <w:rsid w:val="00083375"/>
    <w:rsid w:val="00083412"/>
    <w:rsid w:val="0008422A"/>
    <w:rsid w:val="00085227"/>
    <w:rsid w:val="000855A9"/>
    <w:rsid w:val="0008565E"/>
    <w:rsid w:val="00085EBD"/>
    <w:rsid w:val="00086093"/>
    <w:rsid w:val="0008625C"/>
    <w:rsid w:val="00086718"/>
    <w:rsid w:val="00086816"/>
    <w:rsid w:val="00087A3F"/>
    <w:rsid w:val="00090590"/>
    <w:rsid w:val="00090738"/>
    <w:rsid w:val="00090928"/>
    <w:rsid w:val="00090AB6"/>
    <w:rsid w:val="00090C3B"/>
    <w:rsid w:val="000914A2"/>
    <w:rsid w:val="0009174F"/>
    <w:rsid w:val="00091B39"/>
    <w:rsid w:val="00091BF9"/>
    <w:rsid w:val="00091F1C"/>
    <w:rsid w:val="0009230F"/>
    <w:rsid w:val="000934B4"/>
    <w:rsid w:val="0009369F"/>
    <w:rsid w:val="00094111"/>
    <w:rsid w:val="0009414B"/>
    <w:rsid w:val="000963C9"/>
    <w:rsid w:val="000964B0"/>
    <w:rsid w:val="00096C61"/>
    <w:rsid w:val="000973C7"/>
    <w:rsid w:val="00097BC7"/>
    <w:rsid w:val="000A092B"/>
    <w:rsid w:val="000A0AAF"/>
    <w:rsid w:val="000A0B72"/>
    <w:rsid w:val="000A1752"/>
    <w:rsid w:val="000A1AEC"/>
    <w:rsid w:val="000A2074"/>
    <w:rsid w:val="000A271F"/>
    <w:rsid w:val="000A2F45"/>
    <w:rsid w:val="000A3079"/>
    <w:rsid w:val="000A31EA"/>
    <w:rsid w:val="000A3588"/>
    <w:rsid w:val="000A38E9"/>
    <w:rsid w:val="000A3B9B"/>
    <w:rsid w:val="000A3D79"/>
    <w:rsid w:val="000A4147"/>
    <w:rsid w:val="000A42E7"/>
    <w:rsid w:val="000A45D3"/>
    <w:rsid w:val="000A4C91"/>
    <w:rsid w:val="000A532E"/>
    <w:rsid w:val="000A56B1"/>
    <w:rsid w:val="000A571F"/>
    <w:rsid w:val="000A5722"/>
    <w:rsid w:val="000A58AA"/>
    <w:rsid w:val="000A6508"/>
    <w:rsid w:val="000A6876"/>
    <w:rsid w:val="000A6DAB"/>
    <w:rsid w:val="000A718A"/>
    <w:rsid w:val="000A7476"/>
    <w:rsid w:val="000A7721"/>
    <w:rsid w:val="000A79D5"/>
    <w:rsid w:val="000A7CE1"/>
    <w:rsid w:val="000B00EB"/>
    <w:rsid w:val="000B0233"/>
    <w:rsid w:val="000B0560"/>
    <w:rsid w:val="000B0979"/>
    <w:rsid w:val="000B0E12"/>
    <w:rsid w:val="000B1170"/>
    <w:rsid w:val="000B1D90"/>
    <w:rsid w:val="000B1E37"/>
    <w:rsid w:val="000B349A"/>
    <w:rsid w:val="000B369E"/>
    <w:rsid w:val="000B3D37"/>
    <w:rsid w:val="000B3E21"/>
    <w:rsid w:val="000B5183"/>
    <w:rsid w:val="000B5C2B"/>
    <w:rsid w:val="000B5F84"/>
    <w:rsid w:val="000B6596"/>
    <w:rsid w:val="000B660E"/>
    <w:rsid w:val="000B692A"/>
    <w:rsid w:val="000B693C"/>
    <w:rsid w:val="000B6DEC"/>
    <w:rsid w:val="000B7BE0"/>
    <w:rsid w:val="000B7FBC"/>
    <w:rsid w:val="000C008C"/>
    <w:rsid w:val="000C11A4"/>
    <w:rsid w:val="000C151B"/>
    <w:rsid w:val="000C1A05"/>
    <w:rsid w:val="000C2693"/>
    <w:rsid w:val="000C4163"/>
    <w:rsid w:val="000C4285"/>
    <w:rsid w:val="000C4740"/>
    <w:rsid w:val="000C486D"/>
    <w:rsid w:val="000C4871"/>
    <w:rsid w:val="000C4CFB"/>
    <w:rsid w:val="000C5424"/>
    <w:rsid w:val="000C556A"/>
    <w:rsid w:val="000C5BD4"/>
    <w:rsid w:val="000C5C9C"/>
    <w:rsid w:val="000C5F27"/>
    <w:rsid w:val="000C6A7A"/>
    <w:rsid w:val="000C73DF"/>
    <w:rsid w:val="000C7911"/>
    <w:rsid w:val="000C7CE9"/>
    <w:rsid w:val="000D01E2"/>
    <w:rsid w:val="000D03EB"/>
    <w:rsid w:val="000D0899"/>
    <w:rsid w:val="000D10F9"/>
    <w:rsid w:val="000D30B2"/>
    <w:rsid w:val="000D31CF"/>
    <w:rsid w:val="000D38F0"/>
    <w:rsid w:val="000D3E3D"/>
    <w:rsid w:val="000D3EDC"/>
    <w:rsid w:val="000D4684"/>
    <w:rsid w:val="000D4B57"/>
    <w:rsid w:val="000D51B0"/>
    <w:rsid w:val="000D54BC"/>
    <w:rsid w:val="000D554C"/>
    <w:rsid w:val="000D568E"/>
    <w:rsid w:val="000D5F92"/>
    <w:rsid w:val="000D5FD2"/>
    <w:rsid w:val="000D6A83"/>
    <w:rsid w:val="000D6C41"/>
    <w:rsid w:val="000D6DD9"/>
    <w:rsid w:val="000D71A7"/>
    <w:rsid w:val="000D771F"/>
    <w:rsid w:val="000E0076"/>
    <w:rsid w:val="000E0D24"/>
    <w:rsid w:val="000E1C1D"/>
    <w:rsid w:val="000E2AD3"/>
    <w:rsid w:val="000E2B5B"/>
    <w:rsid w:val="000E3135"/>
    <w:rsid w:val="000E400E"/>
    <w:rsid w:val="000E44B9"/>
    <w:rsid w:val="000E455D"/>
    <w:rsid w:val="000E462C"/>
    <w:rsid w:val="000E4CFC"/>
    <w:rsid w:val="000E5632"/>
    <w:rsid w:val="000E5BE5"/>
    <w:rsid w:val="000E5E51"/>
    <w:rsid w:val="000E6266"/>
    <w:rsid w:val="000E63AE"/>
    <w:rsid w:val="000E6ED7"/>
    <w:rsid w:val="000E6F54"/>
    <w:rsid w:val="000F0690"/>
    <w:rsid w:val="000F1553"/>
    <w:rsid w:val="000F20DF"/>
    <w:rsid w:val="000F2A69"/>
    <w:rsid w:val="000F2A9A"/>
    <w:rsid w:val="000F2D61"/>
    <w:rsid w:val="000F303B"/>
    <w:rsid w:val="000F3D25"/>
    <w:rsid w:val="000F3DB1"/>
    <w:rsid w:val="000F4539"/>
    <w:rsid w:val="000F514C"/>
    <w:rsid w:val="000F5458"/>
    <w:rsid w:val="000F5C00"/>
    <w:rsid w:val="000F60CC"/>
    <w:rsid w:val="000F612E"/>
    <w:rsid w:val="000F65F6"/>
    <w:rsid w:val="000F6C46"/>
    <w:rsid w:val="000F721B"/>
    <w:rsid w:val="000F7334"/>
    <w:rsid w:val="000F75E3"/>
    <w:rsid w:val="000F7FC4"/>
    <w:rsid w:val="001011C1"/>
    <w:rsid w:val="001015A0"/>
    <w:rsid w:val="00101CF6"/>
    <w:rsid w:val="00102084"/>
    <w:rsid w:val="00102F21"/>
    <w:rsid w:val="0010302C"/>
    <w:rsid w:val="00104039"/>
    <w:rsid w:val="00105229"/>
    <w:rsid w:val="0010544A"/>
    <w:rsid w:val="00105820"/>
    <w:rsid w:val="00105C02"/>
    <w:rsid w:val="00105F8A"/>
    <w:rsid w:val="0010620C"/>
    <w:rsid w:val="00106902"/>
    <w:rsid w:val="00106F3D"/>
    <w:rsid w:val="0010742E"/>
    <w:rsid w:val="001076A1"/>
    <w:rsid w:val="00107735"/>
    <w:rsid w:val="00107913"/>
    <w:rsid w:val="0011082E"/>
    <w:rsid w:val="00111690"/>
    <w:rsid w:val="001117F5"/>
    <w:rsid w:val="00111B30"/>
    <w:rsid w:val="00112411"/>
    <w:rsid w:val="00112D1E"/>
    <w:rsid w:val="001131CD"/>
    <w:rsid w:val="0011343F"/>
    <w:rsid w:val="001135BC"/>
    <w:rsid w:val="0011418A"/>
    <w:rsid w:val="00114358"/>
    <w:rsid w:val="00114A10"/>
    <w:rsid w:val="00114A7A"/>
    <w:rsid w:val="00114AC3"/>
    <w:rsid w:val="00115311"/>
    <w:rsid w:val="001157C4"/>
    <w:rsid w:val="0011587E"/>
    <w:rsid w:val="00115895"/>
    <w:rsid w:val="00115A9B"/>
    <w:rsid w:val="00115D92"/>
    <w:rsid w:val="001162AD"/>
    <w:rsid w:val="0011785E"/>
    <w:rsid w:val="0012091B"/>
    <w:rsid w:val="00121187"/>
    <w:rsid w:val="00121E43"/>
    <w:rsid w:val="00121E51"/>
    <w:rsid w:val="00122181"/>
    <w:rsid w:val="00122A8C"/>
    <w:rsid w:val="00122AA1"/>
    <w:rsid w:val="00122D5E"/>
    <w:rsid w:val="00122E3C"/>
    <w:rsid w:val="001230AA"/>
    <w:rsid w:val="001236D3"/>
    <w:rsid w:val="00123860"/>
    <w:rsid w:val="00124A14"/>
    <w:rsid w:val="00124C15"/>
    <w:rsid w:val="00124D68"/>
    <w:rsid w:val="0012576D"/>
    <w:rsid w:val="0012580A"/>
    <w:rsid w:val="001270EE"/>
    <w:rsid w:val="00130074"/>
    <w:rsid w:val="0013098A"/>
    <w:rsid w:val="0013135D"/>
    <w:rsid w:val="00131BBE"/>
    <w:rsid w:val="001320E5"/>
    <w:rsid w:val="001325B2"/>
    <w:rsid w:val="0013363E"/>
    <w:rsid w:val="00133F97"/>
    <w:rsid w:val="00134757"/>
    <w:rsid w:val="0013523A"/>
    <w:rsid w:val="001354C2"/>
    <w:rsid w:val="00135997"/>
    <w:rsid w:val="00135E66"/>
    <w:rsid w:val="001361A8"/>
    <w:rsid w:val="0013688B"/>
    <w:rsid w:val="00136BDB"/>
    <w:rsid w:val="00136F36"/>
    <w:rsid w:val="00137781"/>
    <w:rsid w:val="00137849"/>
    <w:rsid w:val="001406BD"/>
    <w:rsid w:val="00140A51"/>
    <w:rsid w:val="00140DE6"/>
    <w:rsid w:val="00140F06"/>
    <w:rsid w:val="00141047"/>
    <w:rsid w:val="0014121D"/>
    <w:rsid w:val="0014123F"/>
    <w:rsid w:val="00141C19"/>
    <w:rsid w:val="00141C88"/>
    <w:rsid w:val="001425EC"/>
    <w:rsid w:val="0014260A"/>
    <w:rsid w:val="00142810"/>
    <w:rsid w:val="0014351C"/>
    <w:rsid w:val="00143BB1"/>
    <w:rsid w:val="00143BBC"/>
    <w:rsid w:val="00144408"/>
    <w:rsid w:val="00144A49"/>
    <w:rsid w:val="00144C21"/>
    <w:rsid w:val="001458FB"/>
    <w:rsid w:val="00145F20"/>
    <w:rsid w:val="00146A62"/>
    <w:rsid w:val="00146F6B"/>
    <w:rsid w:val="00147853"/>
    <w:rsid w:val="00147969"/>
    <w:rsid w:val="001501F2"/>
    <w:rsid w:val="001502BF"/>
    <w:rsid w:val="001509FE"/>
    <w:rsid w:val="001523E1"/>
    <w:rsid w:val="00152666"/>
    <w:rsid w:val="00152912"/>
    <w:rsid w:val="00152961"/>
    <w:rsid w:val="00152A38"/>
    <w:rsid w:val="00152AC3"/>
    <w:rsid w:val="00152D49"/>
    <w:rsid w:val="00153168"/>
    <w:rsid w:val="00153267"/>
    <w:rsid w:val="0015388B"/>
    <w:rsid w:val="00153D17"/>
    <w:rsid w:val="00153DBC"/>
    <w:rsid w:val="00154460"/>
    <w:rsid w:val="00154501"/>
    <w:rsid w:val="00155159"/>
    <w:rsid w:val="001552F4"/>
    <w:rsid w:val="00155423"/>
    <w:rsid w:val="00155F98"/>
    <w:rsid w:val="00156E4F"/>
    <w:rsid w:val="00156F6A"/>
    <w:rsid w:val="00156F91"/>
    <w:rsid w:val="00157864"/>
    <w:rsid w:val="00157ADF"/>
    <w:rsid w:val="00157EC1"/>
    <w:rsid w:val="00157F47"/>
    <w:rsid w:val="00160522"/>
    <w:rsid w:val="0016136B"/>
    <w:rsid w:val="001615EB"/>
    <w:rsid w:val="00162180"/>
    <w:rsid w:val="001628E5"/>
    <w:rsid w:val="00163ACF"/>
    <w:rsid w:val="00163C32"/>
    <w:rsid w:val="00164638"/>
    <w:rsid w:val="00164A65"/>
    <w:rsid w:val="0016513D"/>
    <w:rsid w:val="00165803"/>
    <w:rsid w:val="00165BBD"/>
    <w:rsid w:val="00165D9F"/>
    <w:rsid w:val="00167833"/>
    <w:rsid w:val="00167A77"/>
    <w:rsid w:val="00167F67"/>
    <w:rsid w:val="00167F7D"/>
    <w:rsid w:val="00170335"/>
    <w:rsid w:val="00170386"/>
    <w:rsid w:val="001708C1"/>
    <w:rsid w:val="00170927"/>
    <w:rsid w:val="001709EE"/>
    <w:rsid w:val="0017146F"/>
    <w:rsid w:val="00171B8E"/>
    <w:rsid w:val="00171CD6"/>
    <w:rsid w:val="001728AC"/>
    <w:rsid w:val="00172C66"/>
    <w:rsid w:val="00172EC3"/>
    <w:rsid w:val="00174064"/>
    <w:rsid w:val="0017439A"/>
    <w:rsid w:val="0017467C"/>
    <w:rsid w:val="00174B33"/>
    <w:rsid w:val="00174B37"/>
    <w:rsid w:val="00174B4A"/>
    <w:rsid w:val="00174CDF"/>
    <w:rsid w:val="00174E65"/>
    <w:rsid w:val="00174F8B"/>
    <w:rsid w:val="00175436"/>
    <w:rsid w:val="0017610E"/>
    <w:rsid w:val="001761A9"/>
    <w:rsid w:val="001764E9"/>
    <w:rsid w:val="001767E6"/>
    <w:rsid w:val="00176D6B"/>
    <w:rsid w:val="00177176"/>
    <w:rsid w:val="0017755F"/>
    <w:rsid w:val="00177C2A"/>
    <w:rsid w:val="00177CA1"/>
    <w:rsid w:val="00180076"/>
    <w:rsid w:val="001800CF"/>
    <w:rsid w:val="001804F6"/>
    <w:rsid w:val="00180C00"/>
    <w:rsid w:val="00181616"/>
    <w:rsid w:val="00181EBC"/>
    <w:rsid w:val="00183794"/>
    <w:rsid w:val="0018469E"/>
    <w:rsid w:val="0018513D"/>
    <w:rsid w:val="001851C4"/>
    <w:rsid w:val="0018559B"/>
    <w:rsid w:val="00185952"/>
    <w:rsid w:val="0018715C"/>
    <w:rsid w:val="001875AF"/>
    <w:rsid w:val="00187EB1"/>
    <w:rsid w:val="001900F7"/>
    <w:rsid w:val="001902DC"/>
    <w:rsid w:val="0019069E"/>
    <w:rsid w:val="001910B2"/>
    <w:rsid w:val="00191375"/>
    <w:rsid w:val="001928B8"/>
    <w:rsid w:val="0019315B"/>
    <w:rsid w:val="00193F8E"/>
    <w:rsid w:val="00194943"/>
    <w:rsid w:val="00194996"/>
    <w:rsid w:val="00195019"/>
    <w:rsid w:val="00196034"/>
    <w:rsid w:val="00196117"/>
    <w:rsid w:val="00196723"/>
    <w:rsid w:val="0019712F"/>
    <w:rsid w:val="001972D0"/>
    <w:rsid w:val="001979B2"/>
    <w:rsid w:val="001979E6"/>
    <w:rsid w:val="00197DB3"/>
    <w:rsid w:val="00197DD8"/>
    <w:rsid w:val="001A0447"/>
    <w:rsid w:val="001A052B"/>
    <w:rsid w:val="001A1453"/>
    <w:rsid w:val="001A17DB"/>
    <w:rsid w:val="001A1C25"/>
    <w:rsid w:val="001A1C5B"/>
    <w:rsid w:val="001A234B"/>
    <w:rsid w:val="001A252E"/>
    <w:rsid w:val="001A2785"/>
    <w:rsid w:val="001A2C86"/>
    <w:rsid w:val="001A2EDE"/>
    <w:rsid w:val="001A3298"/>
    <w:rsid w:val="001A351D"/>
    <w:rsid w:val="001A354D"/>
    <w:rsid w:val="001A3AAF"/>
    <w:rsid w:val="001A3FB1"/>
    <w:rsid w:val="001A43E1"/>
    <w:rsid w:val="001A441D"/>
    <w:rsid w:val="001A47E2"/>
    <w:rsid w:val="001A4D0E"/>
    <w:rsid w:val="001A5288"/>
    <w:rsid w:val="001A58D2"/>
    <w:rsid w:val="001A5E85"/>
    <w:rsid w:val="001A6D66"/>
    <w:rsid w:val="001A7D37"/>
    <w:rsid w:val="001B0588"/>
    <w:rsid w:val="001B08B2"/>
    <w:rsid w:val="001B10FE"/>
    <w:rsid w:val="001B169B"/>
    <w:rsid w:val="001B1B54"/>
    <w:rsid w:val="001B264F"/>
    <w:rsid w:val="001B363B"/>
    <w:rsid w:val="001B395C"/>
    <w:rsid w:val="001B3C12"/>
    <w:rsid w:val="001B4870"/>
    <w:rsid w:val="001B4875"/>
    <w:rsid w:val="001B4B46"/>
    <w:rsid w:val="001B5504"/>
    <w:rsid w:val="001B55E7"/>
    <w:rsid w:val="001B5780"/>
    <w:rsid w:val="001B5790"/>
    <w:rsid w:val="001B61F8"/>
    <w:rsid w:val="001B6C89"/>
    <w:rsid w:val="001B728D"/>
    <w:rsid w:val="001B7363"/>
    <w:rsid w:val="001B7D01"/>
    <w:rsid w:val="001B7FF1"/>
    <w:rsid w:val="001C004C"/>
    <w:rsid w:val="001C00ED"/>
    <w:rsid w:val="001C0E0A"/>
    <w:rsid w:val="001C14B9"/>
    <w:rsid w:val="001C1B88"/>
    <w:rsid w:val="001C201D"/>
    <w:rsid w:val="001C201E"/>
    <w:rsid w:val="001C2D3F"/>
    <w:rsid w:val="001C30AE"/>
    <w:rsid w:val="001C3D03"/>
    <w:rsid w:val="001C471B"/>
    <w:rsid w:val="001C4983"/>
    <w:rsid w:val="001C545C"/>
    <w:rsid w:val="001C5B8E"/>
    <w:rsid w:val="001C63AE"/>
    <w:rsid w:val="001C6867"/>
    <w:rsid w:val="001C6A8F"/>
    <w:rsid w:val="001C73D1"/>
    <w:rsid w:val="001C767A"/>
    <w:rsid w:val="001C79BD"/>
    <w:rsid w:val="001C7AF9"/>
    <w:rsid w:val="001C7E5B"/>
    <w:rsid w:val="001D10FE"/>
    <w:rsid w:val="001D1F1B"/>
    <w:rsid w:val="001D2565"/>
    <w:rsid w:val="001D27A3"/>
    <w:rsid w:val="001D2829"/>
    <w:rsid w:val="001D2AF4"/>
    <w:rsid w:val="001D2DA4"/>
    <w:rsid w:val="001D2E52"/>
    <w:rsid w:val="001D3C4D"/>
    <w:rsid w:val="001D419A"/>
    <w:rsid w:val="001D429F"/>
    <w:rsid w:val="001D48E9"/>
    <w:rsid w:val="001D4978"/>
    <w:rsid w:val="001D49A0"/>
    <w:rsid w:val="001D4B5C"/>
    <w:rsid w:val="001D4F29"/>
    <w:rsid w:val="001D581B"/>
    <w:rsid w:val="001D598C"/>
    <w:rsid w:val="001D60DC"/>
    <w:rsid w:val="001D60F4"/>
    <w:rsid w:val="001D633C"/>
    <w:rsid w:val="001D6BD9"/>
    <w:rsid w:val="001D6D18"/>
    <w:rsid w:val="001D71B7"/>
    <w:rsid w:val="001D7400"/>
    <w:rsid w:val="001D7F97"/>
    <w:rsid w:val="001E013E"/>
    <w:rsid w:val="001E01D6"/>
    <w:rsid w:val="001E1085"/>
    <w:rsid w:val="001E163B"/>
    <w:rsid w:val="001E2673"/>
    <w:rsid w:val="001E3622"/>
    <w:rsid w:val="001E3872"/>
    <w:rsid w:val="001E3C6C"/>
    <w:rsid w:val="001E40F8"/>
    <w:rsid w:val="001E43CC"/>
    <w:rsid w:val="001E4479"/>
    <w:rsid w:val="001E4C6A"/>
    <w:rsid w:val="001E4FB8"/>
    <w:rsid w:val="001E5CA6"/>
    <w:rsid w:val="001E640E"/>
    <w:rsid w:val="001E6EB9"/>
    <w:rsid w:val="001E7942"/>
    <w:rsid w:val="001E7E1E"/>
    <w:rsid w:val="001F04D1"/>
    <w:rsid w:val="001F04F1"/>
    <w:rsid w:val="001F0508"/>
    <w:rsid w:val="001F0525"/>
    <w:rsid w:val="001F0550"/>
    <w:rsid w:val="001F224F"/>
    <w:rsid w:val="001F29BD"/>
    <w:rsid w:val="001F3361"/>
    <w:rsid w:val="001F3CBC"/>
    <w:rsid w:val="001F56AA"/>
    <w:rsid w:val="001F5C79"/>
    <w:rsid w:val="001F6076"/>
    <w:rsid w:val="001F6245"/>
    <w:rsid w:val="001F6484"/>
    <w:rsid w:val="001F64F1"/>
    <w:rsid w:val="001F69EB"/>
    <w:rsid w:val="001F6A1A"/>
    <w:rsid w:val="001F70BE"/>
    <w:rsid w:val="001F7125"/>
    <w:rsid w:val="001F7227"/>
    <w:rsid w:val="001F7C45"/>
    <w:rsid w:val="002007C2"/>
    <w:rsid w:val="00200A0C"/>
    <w:rsid w:val="00200CA2"/>
    <w:rsid w:val="00200D01"/>
    <w:rsid w:val="002010F5"/>
    <w:rsid w:val="002019BC"/>
    <w:rsid w:val="002020A0"/>
    <w:rsid w:val="00202540"/>
    <w:rsid w:val="002027CD"/>
    <w:rsid w:val="00202F24"/>
    <w:rsid w:val="00203384"/>
    <w:rsid w:val="00203D1F"/>
    <w:rsid w:val="0020418C"/>
    <w:rsid w:val="00204498"/>
    <w:rsid w:val="002045A3"/>
    <w:rsid w:val="00204B55"/>
    <w:rsid w:val="00204E05"/>
    <w:rsid w:val="00204F6E"/>
    <w:rsid w:val="00205512"/>
    <w:rsid w:val="0020555E"/>
    <w:rsid w:val="002063E1"/>
    <w:rsid w:val="0020656C"/>
    <w:rsid w:val="002067BB"/>
    <w:rsid w:val="00206973"/>
    <w:rsid w:val="00207B0F"/>
    <w:rsid w:val="00207C91"/>
    <w:rsid w:val="00207F5F"/>
    <w:rsid w:val="00210113"/>
    <w:rsid w:val="002102D0"/>
    <w:rsid w:val="0021063E"/>
    <w:rsid w:val="002106BF"/>
    <w:rsid w:val="00211E87"/>
    <w:rsid w:val="00211ECB"/>
    <w:rsid w:val="002124E9"/>
    <w:rsid w:val="00212521"/>
    <w:rsid w:val="002125E2"/>
    <w:rsid w:val="00212DBB"/>
    <w:rsid w:val="00213273"/>
    <w:rsid w:val="002133B9"/>
    <w:rsid w:val="00213B7C"/>
    <w:rsid w:val="00213FAC"/>
    <w:rsid w:val="002143BF"/>
    <w:rsid w:val="002145AD"/>
    <w:rsid w:val="00214732"/>
    <w:rsid w:val="00214821"/>
    <w:rsid w:val="00214CA7"/>
    <w:rsid w:val="00215029"/>
    <w:rsid w:val="002152C0"/>
    <w:rsid w:val="00215766"/>
    <w:rsid w:val="00216752"/>
    <w:rsid w:val="00216980"/>
    <w:rsid w:val="002172BB"/>
    <w:rsid w:val="002172DF"/>
    <w:rsid w:val="002174D0"/>
    <w:rsid w:val="002174D2"/>
    <w:rsid w:val="00217971"/>
    <w:rsid w:val="00217DD9"/>
    <w:rsid w:val="00220597"/>
    <w:rsid w:val="00220CB6"/>
    <w:rsid w:val="0022123B"/>
    <w:rsid w:val="00223437"/>
    <w:rsid w:val="00223E0B"/>
    <w:rsid w:val="00224003"/>
    <w:rsid w:val="00224D2E"/>
    <w:rsid w:val="0022548C"/>
    <w:rsid w:val="00225F22"/>
    <w:rsid w:val="00227CC0"/>
    <w:rsid w:val="00227DF0"/>
    <w:rsid w:val="0023198F"/>
    <w:rsid w:val="0023213A"/>
    <w:rsid w:val="0023261C"/>
    <w:rsid w:val="00232D13"/>
    <w:rsid w:val="0023316F"/>
    <w:rsid w:val="00233AC1"/>
    <w:rsid w:val="002343D0"/>
    <w:rsid w:val="00234674"/>
    <w:rsid w:val="00235611"/>
    <w:rsid w:val="002358B0"/>
    <w:rsid w:val="00235A9C"/>
    <w:rsid w:val="00235EA1"/>
    <w:rsid w:val="002360CD"/>
    <w:rsid w:val="002400F5"/>
    <w:rsid w:val="0024035A"/>
    <w:rsid w:val="00240803"/>
    <w:rsid w:val="00240C5C"/>
    <w:rsid w:val="00241180"/>
    <w:rsid w:val="0024118B"/>
    <w:rsid w:val="0024144A"/>
    <w:rsid w:val="0024167A"/>
    <w:rsid w:val="0024186F"/>
    <w:rsid w:val="00241D96"/>
    <w:rsid w:val="002424A6"/>
    <w:rsid w:val="00242610"/>
    <w:rsid w:val="00242ADD"/>
    <w:rsid w:val="00242FF4"/>
    <w:rsid w:val="002431A2"/>
    <w:rsid w:val="002438D6"/>
    <w:rsid w:val="00245471"/>
    <w:rsid w:val="002457BD"/>
    <w:rsid w:val="00245E9B"/>
    <w:rsid w:val="00245F96"/>
    <w:rsid w:val="0024684A"/>
    <w:rsid w:val="00246AC3"/>
    <w:rsid w:val="00246C92"/>
    <w:rsid w:val="002473C9"/>
    <w:rsid w:val="002473EE"/>
    <w:rsid w:val="002507EC"/>
    <w:rsid w:val="00251229"/>
    <w:rsid w:val="00251920"/>
    <w:rsid w:val="00252562"/>
    <w:rsid w:val="00252FB8"/>
    <w:rsid w:val="00253550"/>
    <w:rsid w:val="00253FE4"/>
    <w:rsid w:val="0025412F"/>
    <w:rsid w:val="00254435"/>
    <w:rsid w:val="00254453"/>
    <w:rsid w:val="0025602A"/>
    <w:rsid w:val="002565BB"/>
    <w:rsid w:val="00256775"/>
    <w:rsid w:val="002567DC"/>
    <w:rsid w:val="00256DF2"/>
    <w:rsid w:val="002575D1"/>
    <w:rsid w:val="002576BA"/>
    <w:rsid w:val="00257D78"/>
    <w:rsid w:val="00260B5F"/>
    <w:rsid w:val="00261720"/>
    <w:rsid w:val="00261933"/>
    <w:rsid w:val="002638DC"/>
    <w:rsid w:val="00263CBC"/>
    <w:rsid w:val="002643E2"/>
    <w:rsid w:val="002644A9"/>
    <w:rsid w:val="00265343"/>
    <w:rsid w:val="00265E2F"/>
    <w:rsid w:val="00266C9D"/>
    <w:rsid w:val="002672F5"/>
    <w:rsid w:val="00267717"/>
    <w:rsid w:val="00267750"/>
    <w:rsid w:val="00267E2A"/>
    <w:rsid w:val="00267EE0"/>
    <w:rsid w:val="002701A1"/>
    <w:rsid w:val="002715A0"/>
    <w:rsid w:val="00271E11"/>
    <w:rsid w:val="002720B2"/>
    <w:rsid w:val="00273304"/>
    <w:rsid w:val="00273BA4"/>
    <w:rsid w:val="0027428B"/>
    <w:rsid w:val="00274362"/>
    <w:rsid w:val="002747C6"/>
    <w:rsid w:val="00274EC4"/>
    <w:rsid w:val="00275210"/>
    <w:rsid w:val="002759AF"/>
    <w:rsid w:val="00275A69"/>
    <w:rsid w:val="00275BEA"/>
    <w:rsid w:val="00276025"/>
    <w:rsid w:val="00276D7A"/>
    <w:rsid w:val="00277016"/>
    <w:rsid w:val="002774FB"/>
    <w:rsid w:val="002778B9"/>
    <w:rsid w:val="002779EB"/>
    <w:rsid w:val="00277BBA"/>
    <w:rsid w:val="00280652"/>
    <w:rsid w:val="002806A9"/>
    <w:rsid w:val="0028115D"/>
    <w:rsid w:val="002811C6"/>
    <w:rsid w:val="00281535"/>
    <w:rsid w:val="002817D9"/>
    <w:rsid w:val="00281CE1"/>
    <w:rsid w:val="00282679"/>
    <w:rsid w:val="0028272C"/>
    <w:rsid w:val="0028287A"/>
    <w:rsid w:val="00283BEA"/>
    <w:rsid w:val="00283EE0"/>
    <w:rsid w:val="00284D5C"/>
    <w:rsid w:val="00284DEE"/>
    <w:rsid w:val="00285296"/>
    <w:rsid w:val="002866E8"/>
    <w:rsid w:val="00286B8C"/>
    <w:rsid w:val="00287296"/>
    <w:rsid w:val="0028767B"/>
    <w:rsid w:val="00287E5B"/>
    <w:rsid w:val="002907F6"/>
    <w:rsid w:val="00290860"/>
    <w:rsid w:val="00290DA0"/>
    <w:rsid w:val="002913E5"/>
    <w:rsid w:val="002913E9"/>
    <w:rsid w:val="002916BD"/>
    <w:rsid w:val="00291983"/>
    <w:rsid w:val="00291AB1"/>
    <w:rsid w:val="00291DC6"/>
    <w:rsid w:val="00291DD4"/>
    <w:rsid w:val="00291F0D"/>
    <w:rsid w:val="00292CCA"/>
    <w:rsid w:val="00292F50"/>
    <w:rsid w:val="002930D5"/>
    <w:rsid w:val="0029324D"/>
    <w:rsid w:val="002932E2"/>
    <w:rsid w:val="00293B88"/>
    <w:rsid w:val="00294192"/>
    <w:rsid w:val="0029442E"/>
    <w:rsid w:val="002954FA"/>
    <w:rsid w:val="0029673C"/>
    <w:rsid w:val="00296F80"/>
    <w:rsid w:val="002971CC"/>
    <w:rsid w:val="0029722E"/>
    <w:rsid w:val="0029730C"/>
    <w:rsid w:val="002976A1"/>
    <w:rsid w:val="0029788E"/>
    <w:rsid w:val="00297BB3"/>
    <w:rsid w:val="00297F61"/>
    <w:rsid w:val="002A01B8"/>
    <w:rsid w:val="002A03D1"/>
    <w:rsid w:val="002A0BC3"/>
    <w:rsid w:val="002A1833"/>
    <w:rsid w:val="002A1F2D"/>
    <w:rsid w:val="002A306D"/>
    <w:rsid w:val="002A32AF"/>
    <w:rsid w:val="002A373D"/>
    <w:rsid w:val="002A38E1"/>
    <w:rsid w:val="002A398B"/>
    <w:rsid w:val="002A3E90"/>
    <w:rsid w:val="002A3F7D"/>
    <w:rsid w:val="002A46FF"/>
    <w:rsid w:val="002A4F08"/>
    <w:rsid w:val="002A57AB"/>
    <w:rsid w:val="002A5F20"/>
    <w:rsid w:val="002A6629"/>
    <w:rsid w:val="002A6B99"/>
    <w:rsid w:val="002A7237"/>
    <w:rsid w:val="002A7E23"/>
    <w:rsid w:val="002A7F2B"/>
    <w:rsid w:val="002B111D"/>
    <w:rsid w:val="002B1337"/>
    <w:rsid w:val="002B16B3"/>
    <w:rsid w:val="002B199E"/>
    <w:rsid w:val="002B203B"/>
    <w:rsid w:val="002B22E8"/>
    <w:rsid w:val="002B23EA"/>
    <w:rsid w:val="002B26D9"/>
    <w:rsid w:val="002B274E"/>
    <w:rsid w:val="002B2836"/>
    <w:rsid w:val="002B296D"/>
    <w:rsid w:val="002B2EC1"/>
    <w:rsid w:val="002B4B31"/>
    <w:rsid w:val="002B53B3"/>
    <w:rsid w:val="002B5704"/>
    <w:rsid w:val="002B58CE"/>
    <w:rsid w:val="002B5C6F"/>
    <w:rsid w:val="002B5CBC"/>
    <w:rsid w:val="002B5F8C"/>
    <w:rsid w:val="002B6101"/>
    <w:rsid w:val="002B68AE"/>
    <w:rsid w:val="002B6F2D"/>
    <w:rsid w:val="002B74C2"/>
    <w:rsid w:val="002B756A"/>
    <w:rsid w:val="002B7CE5"/>
    <w:rsid w:val="002C02F8"/>
    <w:rsid w:val="002C0455"/>
    <w:rsid w:val="002C07A4"/>
    <w:rsid w:val="002C1097"/>
    <w:rsid w:val="002C1121"/>
    <w:rsid w:val="002C121A"/>
    <w:rsid w:val="002C1393"/>
    <w:rsid w:val="002C1A04"/>
    <w:rsid w:val="002C1FC0"/>
    <w:rsid w:val="002C2008"/>
    <w:rsid w:val="002C20A1"/>
    <w:rsid w:val="002C213B"/>
    <w:rsid w:val="002C23DF"/>
    <w:rsid w:val="002C2693"/>
    <w:rsid w:val="002C270F"/>
    <w:rsid w:val="002C2C44"/>
    <w:rsid w:val="002C33EA"/>
    <w:rsid w:val="002C390F"/>
    <w:rsid w:val="002C3FDD"/>
    <w:rsid w:val="002C5264"/>
    <w:rsid w:val="002C56CE"/>
    <w:rsid w:val="002C6056"/>
    <w:rsid w:val="002C69B9"/>
    <w:rsid w:val="002C6DC9"/>
    <w:rsid w:val="002C6F27"/>
    <w:rsid w:val="002C721C"/>
    <w:rsid w:val="002C7225"/>
    <w:rsid w:val="002C7390"/>
    <w:rsid w:val="002D069A"/>
    <w:rsid w:val="002D0D63"/>
    <w:rsid w:val="002D0DB3"/>
    <w:rsid w:val="002D1421"/>
    <w:rsid w:val="002D1867"/>
    <w:rsid w:val="002D1DC8"/>
    <w:rsid w:val="002D1F89"/>
    <w:rsid w:val="002D270D"/>
    <w:rsid w:val="002D305E"/>
    <w:rsid w:val="002D344B"/>
    <w:rsid w:val="002D3A7E"/>
    <w:rsid w:val="002D3C24"/>
    <w:rsid w:val="002D3C72"/>
    <w:rsid w:val="002D3F54"/>
    <w:rsid w:val="002D410A"/>
    <w:rsid w:val="002D46BC"/>
    <w:rsid w:val="002D5522"/>
    <w:rsid w:val="002D5A3D"/>
    <w:rsid w:val="002D5CCB"/>
    <w:rsid w:val="002D5DE3"/>
    <w:rsid w:val="002D5EFD"/>
    <w:rsid w:val="002D63ED"/>
    <w:rsid w:val="002D7231"/>
    <w:rsid w:val="002D78DB"/>
    <w:rsid w:val="002D7DE9"/>
    <w:rsid w:val="002E070C"/>
    <w:rsid w:val="002E145F"/>
    <w:rsid w:val="002E1948"/>
    <w:rsid w:val="002E1BD5"/>
    <w:rsid w:val="002E1EC7"/>
    <w:rsid w:val="002E223A"/>
    <w:rsid w:val="002E2B75"/>
    <w:rsid w:val="002E2C2A"/>
    <w:rsid w:val="002E31D6"/>
    <w:rsid w:val="002E32D3"/>
    <w:rsid w:val="002E39B4"/>
    <w:rsid w:val="002E5959"/>
    <w:rsid w:val="002E681F"/>
    <w:rsid w:val="002E6958"/>
    <w:rsid w:val="002E7279"/>
    <w:rsid w:val="002E7577"/>
    <w:rsid w:val="002E7962"/>
    <w:rsid w:val="002F0196"/>
    <w:rsid w:val="002F03A7"/>
    <w:rsid w:val="002F075C"/>
    <w:rsid w:val="002F08A9"/>
    <w:rsid w:val="002F0C05"/>
    <w:rsid w:val="002F0DD6"/>
    <w:rsid w:val="002F1112"/>
    <w:rsid w:val="002F2528"/>
    <w:rsid w:val="002F4242"/>
    <w:rsid w:val="002F4D24"/>
    <w:rsid w:val="002F4F0F"/>
    <w:rsid w:val="002F51F0"/>
    <w:rsid w:val="002F537E"/>
    <w:rsid w:val="002F57B7"/>
    <w:rsid w:val="002F58AD"/>
    <w:rsid w:val="002F6687"/>
    <w:rsid w:val="002F6FD1"/>
    <w:rsid w:val="002F70A7"/>
    <w:rsid w:val="002F72EA"/>
    <w:rsid w:val="002F76FC"/>
    <w:rsid w:val="002F7D2A"/>
    <w:rsid w:val="002F7FA8"/>
    <w:rsid w:val="00300F4A"/>
    <w:rsid w:val="0030138E"/>
    <w:rsid w:val="00301E60"/>
    <w:rsid w:val="00302B71"/>
    <w:rsid w:val="00302BCD"/>
    <w:rsid w:val="00303977"/>
    <w:rsid w:val="00303DE9"/>
    <w:rsid w:val="0030408B"/>
    <w:rsid w:val="00304663"/>
    <w:rsid w:val="00304794"/>
    <w:rsid w:val="003048E7"/>
    <w:rsid w:val="00304E4A"/>
    <w:rsid w:val="0030565D"/>
    <w:rsid w:val="0030592A"/>
    <w:rsid w:val="00306254"/>
    <w:rsid w:val="0030659D"/>
    <w:rsid w:val="00306A7C"/>
    <w:rsid w:val="00306C30"/>
    <w:rsid w:val="00306FDF"/>
    <w:rsid w:val="00307AD9"/>
    <w:rsid w:val="00310782"/>
    <w:rsid w:val="003107AA"/>
    <w:rsid w:val="00310DB6"/>
    <w:rsid w:val="003122EA"/>
    <w:rsid w:val="0031240F"/>
    <w:rsid w:val="00312B2A"/>
    <w:rsid w:val="00313643"/>
    <w:rsid w:val="00313FE7"/>
    <w:rsid w:val="00314087"/>
    <w:rsid w:val="0031420A"/>
    <w:rsid w:val="0031479C"/>
    <w:rsid w:val="00314BFD"/>
    <w:rsid w:val="00314F4A"/>
    <w:rsid w:val="003152BB"/>
    <w:rsid w:val="0031563D"/>
    <w:rsid w:val="003156EC"/>
    <w:rsid w:val="00316E38"/>
    <w:rsid w:val="00317219"/>
    <w:rsid w:val="003172A2"/>
    <w:rsid w:val="003204D8"/>
    <w:rsid w:val="0032079A"/>
    <w:rsid w:val="00320841"/>
    <w:rsid w:val="00320A66"/>
    <w:rsid w:val="00320CA9"/>
    <w:rsid w:val="0032111E"/>
    <w:rsid w:val="0032138D"/>
    <w:rsid w:val="0032151F"/>
    <w:rsid w:val="003218FA"/>
    <w:rsid w:val="003224D7"/>
    <w:rsid w:val="0032259C"/>
    <w:rsid w:val="00322996"/>
    <w:rsid w:val="00322B78"/>
    <w:rsid w:val="00323542"/>
    <w:rsid w:val="00324200"/>
    <w:rsid w:val="00324B5D"/>
    <w:rsid w:val="003251A4"/>
    <w:rsid w:val="003256DD"/>
    <w:rsid w:val="0032574A"/>
    <w:rsid w:val="00325FCA"/>
    <w:rsid w:val="0032613B"/>
    <w:rsid w:val="00326A6F"/>
    <w:rsid w:val="0032714A"/>
    <w:rsid w:val="0032755E"/>
    <w:rsid w:val="00327604"/>
    <w:rsid w:val="00327A97"/>
    <w:rsid w:val="003306F7"/>
    <w:rsid w:val="00331828"/>
    <w:rsid w:val="00331EC8"/>
    <w:rsid w:val="00332E4B"/>
    <w:rsid w:val="003330BD"/>
    <w:rsid w:val="00333550"/>
    <w:rsid w:val="00333551"/>
    <w:rsid w:val="00334E49"/>
    <w:rsid w:val="00334EB9"/>
    <w:rsid w:val="00335009"/>
    <w:rsid w:val="003352E2"/>
    <w:rsid w:val="00335575"/>
    <w:rsid w:val="003355AC"/>
    <w:rsid w:val="00335AEA"/>
    <w:rsid w:val="0033645E"/>
    <w:rsid w:val="00337537"/>
    <w:rsid w:val="00337D26"/>
    <w:rsid w:val="003401DE"/>
    <w:rsid w:val="003405A1"/>
    <w:rsid w:val="00340A2A"/>
    <w:rsid w:val="00340D29"/>
    <w:rsid w:val="00340D7F"/>
    <w:rsid w:val="00340F31"/>
    <w:rsid w:val="0034125E"/>
    <w:rsid w:val="00341657"/>
    <w:rsid w:val="00341EFD"/>
    <w:rsid w:val="00342000"/>
    <w:rsid w:val="00342196"/>
    <w:rsid w:val="003421E7"/>
    <w:rsid w:val="003428C1"/>
    <w:rsid w:val="00342C64"/>
    <w:rsid w:val="00343296"/>
    <w:rsid w:val="00343930"/>
    <w:rsid w:val="00344165"/>
    <w:rsid w:val="00344914"/>
    <w:rsid w:val="00344C46"/>
    <w:rsid w:val="00344E62"/>
    <w:rsid w:val="00344ED9"/>
    <w:rsid w:val="00344EED"/>
    <w:rsid w:val="00344F5A"/>
    <w:rsid w:val="003459D3"/>
    <w:rsid w:val="00345A43"/>
    <w:rsid w:val="00346208"/>
    <w:rsid w:val="00346FED"/>
    <w:rsid w:val="00347081"/>
    <w:rsid w:val="003473EB"/>
    <w:rsid w:val="003474E7"/>
    <w:rsid w:val="00347712"/>
    <w:rsid w:val="00347FE9"/>
    <w:rsid w:val="00351005"/>
    <w:rsid w:val="0035152F"/>
    <w:rsid w:val="00351967"/>
    <w:rsid w:val="0035261C"/>
    <w:rsid w:val="0035350F"/>
    <w:rsid w:val="003537EB"/>
    <w:rsid w:val="00353A3B"/>
    <w:rsid w:val="003540A4"/>
    <w:rsid w:val="0035431C"/>
    <w:rsid w:val="00354B93"/>
    <w:rsid w:val="0035541A"/>
    <w:rsid w:val="00355A06"/>
    <w:rsid w:val="003561CE"/>
    <w:rsid w:val="00356A61"/>
    <w:rsid w:val="00356ABF"/>
    <w:rsid w:val="003575F9"/>
    <w:rsid w:val="0035765D"/>
    <w:rsid w:val="0035783B"/>
    <w:rsid w:val="003605FD"/>
    <w:rsid w:val="00360C17"/>
    <w:rsid w:val="00360F3B"/>
    <w:rsid w:val="00361A2D"/>
    <w:rsid w:val="00361BB1"/>
    <w:rsid w:val="00361BEC"/>
    <w:rsid w:val="00361EB5"/>
    <w:rsid w:val="00362727"/>
    <w:rsid w:val="00363466"/>
    <w:rsid w:val="00363A66"/>
    <w:rsid w:val="00364090"/>
    <w:rsid w:val="00364683"/>
    <w:rsid w:val="0036631E"/>
    <w:rsid w:val="00366A3B"/>
    <w:rsid w:val="0036725E"/>
    <w:rsid w:val="003672B0"/>
    <w:rsid w:val="003674FC"/>
    <w:rsid w:val="003676EE"/>
    <w:rsid w:val="00367C40"/>
    <w:rsid w:val="00370955"/>
    <w:rsid w:val="00370F68"/>
    <w:rsid w:val="00371305"/>
    <w:rsid w:val="003723C5"/>
    <w:rsid w:val="00373107"/>
    <w:rsid w:val="00373182"/>
    <w:rsid w:val="0037359D"/>
    <w:rsid w:val="00373A66"/>
    <w:rsid w:val="00373E1F"/>
    <w:rsid w:val="00373E3C"/>
    <w:rsid w:val="003743EB"/>
    <w:rsid w:val="00374F9C"/>
    <w:rsid w:val="00375240"/>
    <w:rsid w:val="003756CC"/>
    <w:rsid w:val="00375815"/>
    <w:rsid w:val="00375A6A"/>
    <w:rsid w:val="00375E0A"/>
    <w:rsid w:val="0037686E"/>
    <w:rsid w:val="00376892"/>
    <w:rsid w:val="003800DB"/>
    <w:rsid w:val="0038019B"/>
    <w:rsid w:val="003805F9"/>
    <w:rsid w:val="003806A3"/>
    <w:rsid w:val="00380EC4"/>
    <w:rsid w:val="00381021"/>
    <w:rsid w:val="003810C9"/>
    <w:rsid w:val="003812D7"/>
    <w:rsid w:val="00381533"/>
    <w:rsid w:val="003815EC"/>
    <w:rsid w:val="0038164C"/>
    <w:rsid w:val="003816B2"/>
    <w:rsid w:val="00381E5B"/>
    <w:rsid w:val="00382799"/>
    <w:rsid w:val="00383494"/>
    <w:rsid w:val="00384AEE"/>
    <w:rsid w:val="00384D77"/>
    <w:rsid w:val="003854B7"/>
    <w:rsid w:val="00385CE2"/>
    <w:rsid w:val="00386234"/>
    <w:rsid w:val="00386783"/>
    <w:rsid w:val="00387555"/>
    <w:rsid w:val="00390090"/>
    <w:rsid w:val="003900DF"/>
    <w:rsid w:val="0039179E"/>
    <w:rsid w:val="0039180E"/>
    <w:rsid w:val="00391EBA"/>
    <w:rsid w:val="003920E8"/>
    <w:rsid w:val="00392100"/>
    <w:rsid w:val="0039276A"/>
    <w:rsid w:val="00392838"/>
    <w:rsid w:val="00392E7F"/>
    <w:rsid w:val="003947A2"/>
    <w:rsid w:val="003947B7"/>
    <w:rsid w:val="00394BF9"/>
    <w:rsid w:val="00394D1C"/>
    <w:rsid w:val="00395030"/>
    <w:rsid w:val="00395888"/>
    <w:rsid w:val="0039619E"/>
    <w:rsid w:val="0039652F"/>
    <w:rsid w:val="00396D6F"/>
    <w:rsid w:val="00397A5E"/>
    <w:rsid w:val="00397C32"/>
    <w:rsid w:val="00397D68"/>
    <w:rsid w:val="003A173D"/>
    <w:rsid w:val="003A194D"/>
    <w:rsid w:val="003A1B56"/>
    <w:rsid w:val="003A1F26"/>
    <w:rsid w:val="003A1F63"/>
    <w:rsid w:val="003A256C"/>
    <w:rsid w:val="003A28B7"/>
    <w:rsid w:val="003A29E8"/>
    <w:rsid w:val="003A2CF4"/>
    <w:rsid w:val="003A325C"/>
    <w:rsid w:val="003A36CD"/>
    <w:rsid w:val="003A408B"/>
    <w:rsid w:val="003A40B3"/>
    <w:rsid w:val="003A47B2"/>
    <w:rsid w:val="003A540E"/>
    <w:rsid w:val="003A54F6"/>
    <w:rsid w:val="003A5639"/>
    <w:rsid w:val="003A6ADA"/>
    <w:rsid w:val="003B019B"/>
    <w:rsid w:val="003B0C6C"/>
    <w:rsid w:val="003B0C94"/>
    <w:rsid w:val="003B0C98"/>
    <w:rsid w:val="003B18FB"/>
    <w:rsid w:val="003B1CC8"/>
    <w:rsid w:val="003B1D03"/>
    <w:rsid w:val="003B1D91"/>
    <w:rsid w:val="003B20E2"/>
    <w:rsid w:val="003B21C1"/>
    <w:rsid w:val="003B2E1A"/>
    <w:rsid w:val="003B314E"/>
    <w:rsid w:val="003B3BFC"/>
    <w:rsid w:val="003B4119"/>
    <w:rsid w:val="003B428C"/>
    <w:rsid w:val="003B4506"/>
    <w:rsid w:val="003B4525"/>
    <w:rsid w:val="003B4E80"/>
    <w:rsid w:val="003B5ACF"/>
    <w:rsid w:val="003B61E7"/>
    <w:rsid w:val="003B731A"/>
    <w:rsid w:val="003B76E9"/>
    <w:rsid w:val="003C0065"/>
    <w:rsid w:val="003C0E4A"/>
    <w:rsid w:val="003C0FE5"/>
    <w:rsid w:val="003C1171"/>
    <w:rsid w:val="003C1B6F"/>
    <w:rsid w:val="003C1E35"/>
    <w:rsid w:val="003C1EB0"/>
    <w:rsid w:val="003C2888"/>
    <w:rsid w:val="003C2A09"/>
    <w:rsid w:val="003C2AF1"/>
    <w:rsid w:val="003C3384"/>
    <w:rsid w:val="003C3A60"/>
    <w:rsid w:val="003C454A"/>
    <w:rsid w:val="003C50A3"/>
    <w:rsid w:val="003C50CF"/>
    <w:rsid w:val="003C548B"/>
    <w:rsid w:val="003C55B7"/>
    <w:rsid w:val="003C55BD"/>
    <w:rsid w:val="003C56FF"/>
    <w:rsid w:val="003C5941"/>
    <w:rsid w:val="003C5EC7"/>
    <w:rsid w:val="003C63BE"/>
    <w:rsid w:val="003C6BC9"/>
    <w:rsid w:val="003C6E5A"/>
    <w:rsid w:val="003C6FE0"/>
    <w:rsid w:val="003C70AF"/>
    <w:rsid w:val="003C722E"/>
    <w:rsid w:val="003D01A4"/>
    <w:rsid w:val="003D05DF"/>
    <w:rsid w:val="003D085A"/>
    <w:rsid w:val="003D08DF"/>
    <w:rsid w:val="003D09B2"/>
    <w:rsid w:val="003D0A31"/>
    <w:rsid w:val="003D0AFA"/>
    <w:rsid w:val="003D0C92"/>
    <w:rsid w:val="003D0E8A"/>
    <w:rsid w:val="003D16C3"/>
    <w:rsid w:val="003D16EB"/>
    <w:rsid w:val="003D1C83"/>
    <w:rsid w:val="003D1CA6"/>
    <w:rsid w:val="003D2198"/>
    <w:rsid w:val="003D350A"/>
    <w:rsid w:val="003D5016"/>
    <w:rsid w:val="003D51DF"/>
    <w:rsid w:val="003D58F2"/>
    <w:rsid w:val="003D5A57"/>
    <w:rsid w:val="003D5B20"/>
    <w:rsid w:val="003D5C3D"/>
    <w:rsid w:val="003D5E2D"/>
    <w:rsid w:val="003D653B"/>
    <w:rsid w:val="003D7B1C"/>
    <w:rsid w:val="003D7D73"/>
    <w:rsid w:val="003E03D1"/>
    <w:rsid w:val="003E058C"/>
    <w:rsid w:val="003E0691"/>
    <w:rsid w:val="003E0FD3"/>
    <w:rsid w:val="003E1505"/>
    <w:rsid w:val="003E1640"/>
    <w:rsid w:val="003E1D72"/>
    <w:rsid w:val="003E1DDC"/>
    <w:rsid w:val="003E1E05"/>
    <w:rsid w:val="003E28B2"/>
    <w:rsid w:val="003E3A57"/>
    <w:rsid w:val="003E3D65"/>
    <w:rsid w:val="003E4566"/>
    <w:rsid w:val="003E4790"/>
    <w:rsid w:val="003E5253"/>
    <w:rsid w:val="003E5852"/>
    <w:rsid w:val="003E6BF0"/>
    <w:rsid w:val="003E6DEF"/>
    <w:rsid w:val="003E6E35"/>
    <w:rsid w:val="003E750F"/>
    <w:rsid w:val="003F0DD0"/>
    <w:rsid w:val="003F1F07"/>
    <w:rsid w:val="003F27BF"/>
    <w:rsid w:val="003F3315"/>
    <w:rsid w:val="003F3820"/>
    <w:rsid w:val="003F3D81"/>
    <w:rsid w:val="003F3FD9"/>
    <w:rsid w:val="003F4A26"/>
    <w:rsid w:val="003F4D46"/>
    <w:rsid w:val="003F5A2F"/>
    <w:rsid w:val="003F5F0C"/>
    <w:rsid w:val="003F603A"/>
    <w:rsid w:val="003F6330"/>
    <w:rsid w:val="003F64A2"/>
    <w:rsid w:val="003F65AF"/>
    <w:rsid w:val="003F65E4"/>
    <w:rsid w:val="003F7374"/>
    <w:rsid w:val="003F7D00"/>
    <w:rsid w:val="003F7D70"/>
    <w:rsid w:val="003F7E6B"/>
    <w:rsid w:val="003F7E98"/>
    <w:rsid w:val="00400346"/>
    <w:rsid w:val="00400562"/>
    <w:rsid w:val="004007A2"/>
    <w:rsid w:val="00401392"/>
    <w:rsid w:val="004013E3"/>
    <w:rsid w:val="00401817"/>
    <w:rsid w:val="0040204F"/>
    <w:rsid w:val="0040257D"/>
    <w:rsid w:val="00403412"/>
    <w:rsid w:val="00403D55"/>
    <w:rsid w:val="0040486A"/>
    <w:rsid w:val="00404D26"/>
    <w:rsid w:val="0040527D"/>
    <w:rsid w:val="004054F3"/>
    <w:rsid w:val="0040552C"/>
    <w:rsid w:val="0040604A"/>
    <w:rsid w:val="00406495"/>
    <w:rsid w:val="00407339"/>
    <w:rsid w:val="00407556"/>
    <w:rsid w:val="00407803"/>
    <w:rsid w:val="004103F1"/>
    <w:rsid w:val="00410E8D"/>
    <w:rsid w:val="00410ED3"/>
    <w:rsid w:val="00410F39"/>
    <w:rsid w:val="00410F73"/>
    <w:rsid w:val="00411BE8"/>
    <w:rsid w:val="00411C2F"/>
    <w:rsid w:val="00411DE5"/>
    <w:rsid w:val="004121AA"/>
    <w:rsid w:val="004128AA"/>
    <w:rsid w:val="00412E74"/>
    <w:rsid w:val="00413387"/>
    <w:rsid w:val="00413489"/>
    <w:rsid w:val="00413605"/>
    <w:rsid w:val="0041423B"/>
    <w:rsid w:val="00415B0C"/>
    <w:rsid w:val="0041655B"/>
    <w:rsid w:val="00416CEF"/>
    <w:rsid w:val="00417096"/>
    <w:rsid w:val="00417232"/>
    <w:rsid w:val="004204DE"/>
    <w:rsid w:val="00420AFA"/>
    <w:rsid w:val="00421AC0"/>
    <w:rsid w:val="00421C5E"/>
    <w:rsid w:val="00422274"/>
    <w:rsid w:val="00422E5D"/>
    <w:rsid w:val="00423012"/>
    <w:rsid w:val="0042336B"/>
    <w:rsid w:val="004238A5"/>
    <w:rsid w:val="00424399"/>
    <w:rsid w:val="004248B5"/>
    <w:rsid w:val="00424FA0"/>
    <w:rsid w:val="004256B2"/>
    <w:rsid w:val="0042609D"/>
    <w:rsid w:val="004260FF"/>
    <w:rsid w:val="00426F42"/>
    <w:rsid w:val="00427435"/>
    <w:rsid w:val="004278D4"/>
    <w:rsid w:val="00430006"/>
    <w:rsid w:val="004308E3"/>
    <w:rsid w:val="00430E65"/>
    <w:rsid w:val="0043152D"/>
    <w:rsid w:val="00431619"/>
    <w:rsid w:val="004322C8"/>
    <w:rsid w:val="0043233D"/>
    <w:rsid w:val="00432417"/>
    <w:rsid w:val="00432946"/>
    <w:rsid w:val="00432B4D"/>
    <w:rsid w:val="00433255"/>
    <w:rsid w:val="004336CE"/>
    <w:rsid w:val="0043374B"/>
    <w:rsid w:val="00433D9A"/>
    <w:rsid w:val="00433F83"/>
    <w:rsid w:val="0043434F"/>
    <w:rsid w:val="00434414"/>
    <w:rsid w:val="00434836"/>
    <w:rsid w:val="00434B8C"/>
    <w:rsid w:val="00434C4A"/>
    <w:rsid w:val="004353DF"/>
    <w:rsid w:val="00435698"/>
    <w:rsid w:val="00435F75"/>
    <w:rsid w:val="004365C8"/>
    <w:rsid w:val="00436D57"/>
    <w:rsid w:val="00436D5D"/>
    <w:rsid w:val="00436F2E"/>
    <w:rsid w:val="0043751A"/>
    <w:rsid w:val="00437DA5"/>
    <w:rsid w:val="0044000C"/>
    <w:rsid w:val="00440267"/>
    <w:rsid w:val="004407D4"/>
    <w:rsid w:val="004411C3"/>
    <w:rsid w:val="00441210"/>
    <w:rsid w:val="004415FF"/>
    <w:rsid w:val="00441839"/>
    <w:rsid w:val="00442A50"/>
    <w:rsid w:val="00442B9F"/>
    <w:rsid w:val="004433D4"/>
    <w:rsid w:val="0044346B"/>
    <w:rsid w:val="00444340"/>
    <w:rsid w:val="00444502"/>
    <w:rsid w:val="00444931"/>
    <w:rsid w:val="00444D04"/>
    <w:rsid w:val="00444D23"/>
    <w:rsid w:val="0044573D"/>
    <w:rsid w:val="00445BAF"/>
    <w:rsid w:val="00446118"/>
    <w:rsid w:val="00446146"/>
    <w:rsid w:val="00446215"/>
    <w:rsid w:val="0044640B"/>
    <w:rsid w:val="0044642E"/>
    <w:rsid w:val="00446783"/>
    <w:rsid w:val="00447763"/>
    <w:rsid w:val="004477E6"/>
    <w:rsid w:val="004479FA"/>
    <w:rsid w:val="00450111"/>
    <w:rsid w:val="00450462"/>
    <w:rsid w:val="004518F2"/>
    <w:rsid w:val="0045199D"/>
    <w:rsid w:val="00451DD5"/>
    <w:rsid w:val="00452513"/>
    <w:rsid w:val="004526EF"/>
    <w:rsid w:val="004529C7"/>
    <w:rsid w:val="00452C21"/>
    <w:rsid w:val="00452EF2"/>
    <w:rsid w:val="00453033"/>
    <w:rsid w:val="00453DEB"/>
    <w:rsid w:val="00453E6F"/>
    <w:rsid w:val="004546EB"/>
    <w:rsid w:val="00455739"/>
    <w:rsid w:val="00455E90"/>
    <w:rsid w:val="004562DA"/>
    <w:rsid w:val="0045668C"/>
    <w:rsid w:val="00456E96"/>
    <w:rsid w:val="004576CE"/>
    <w:rsid w:val="004579F6"/>
    <w:rsid w:val="00457D7F"/>
    <w:rsid w:val="00457F42"/>
    <w:rsid w:val="004601A6"/>
    <w:rsid w:val="004604E6"/>
    <w:rsid w:val="00460623"/>
    <w:rsid w:val="004606BF"/>
    <w:rsid w:val="004609AF"/>
    <w:rsid w:val="00462363"/>
    <w:rsid w:val="00462498"/>
    <w:rsid w:val="0046284C"/>
    <w:rsid w:val="0046286E"/>
    <w:rsid w:val="00463064"/>
    <w:rsid w:val="004632D2"/>
    <w:rsid w:val="0046370E"/>
    <w:rsid w:val="00463851"/>
    <w:rsid w:val="004638B0"/>
    <w:rsid w:val="004639C3"/>
    <w:rsid w:val="00463BB6"/>
    <w:rsid w:val="0046476B"/>
    <w:rsid w:val="004647B9"/>
    <w:rsid w:val="0046559A"/>
    <w:rsid w:val="0046635F"/>
    <w:rsid w:val="00466E03"/>
    <w:rsid w:val="00467019"/>
    <w:rsid w:val="004670A7"/>
    <w:rsid w:val="004670AC"/>
    <w:rsid w:val="00467F4F"/>
    <w:rsid w:val="00470969"/>
    <w:rsid w:val="00470BE7"/>
    <w:rsid w:val="004711B7"/>
    <w:rsid w:val="0047129D"/>
    <w:rsid w:val="004712B3"/>
    <w:rsid w:val="004718E7"/>
    <w:rsid w:val="00471F40"/>
    <w:rsid w:val="00472F44"/>
    <w:rsid w:val="00472F47"/>
    <w:rsid w:val="004733D9"/>
    <w:rsid w:val="004734D3"/>
    <w:rsid w:val="004739F9"/>
    <w:rsid w:val="00473F27"/>
    <w:rsid w:val="0047406E"/>
    <w:rsid w:val="00474251"/>
    <w:rsid w:val="004747F6"/>
    <w:rsid w:val="00474840"/>
    <w:rsid w:val="0047497D"/>
    <w:rsid w:val="00474A17"/>
    <w:rsid w:val="00474AFE"/>
    <w:rsid w:val="00474D72"/>
    <w:rsid w:val="00474FC5"/>
    <w:rsid w:val="00475315"/>
    <w:rsid w:val="00475B7F"/>
    <w:rsid w:val="004762C9"/>
    <w:rsid w:val="0047631E"/>
    <w:rsid w:val="0047649D"/>
    <w:rsid w:val="004771E9"/>
    <w:rsid w:val="00477438"/>
    <w:rsid w:val="00480309"/>
    <w:rsid w:val="00480F49"/>
    <w:rsid w:val="00483FCD"/>
    <w:rsid w:val="00484589"/>
    <w:rsid w:val="004849A8"/>
    <w:rsid w:val="004850CB"/>
    <w:rsid w:val="004858AB"/>
    <w:rsid w:val="00485950"/>
    <w:rsid w:val="004859AE"/>
    <w:rsid w:val="00485C54"/>
    <w:rsid w:val="00485F12"/>
    <w:rsid w:val="004860C2"/>
    <w:rsid w:val="00486412"/>
    <w:rsid w:val="004864C0"/>
    <w:rsid w:val="00486AF9"/>
    <w:rsid w:val="00487242"/>
    <w:rsid w:val="0048758E"/>
    <w:rsid w:val="00487E9A"/>
    <w:rsid w:val="004907A5"/>
    <w:rsid w:val="00490B23"/>
    <w:rsid w:val="00490F24"/>
    <w:rsid w:val="00491E0F"/>
    <w:rsid w:val="00491E53"/>
    <w:rsid w:val="00491EC2"/>
    <w:rsid w:val="00492628"/>
    <w:rsid w:val="00492887"/>
    <w:rsid w:val="00493F5A"/>
    <w:rsid w:val="004945B7"/>
    <w:rsid w:val="0049461B"/>
    <w:rsid w:val="00494D68"/>
    <w:rsid w:val="0049556C"/>
    <w:rsid w:val="004958F8"/>
    <w:rsid w:val="00495ADA"/>
    <w:rsid w:val="004962CB"/>
    <w:rsid w:val="004966E1"/>
    <w:rsid w:val="00496755"/>
    <w:rsid w:val="00496804"/>
    <w:rsid w:val="0049755B"/>
    <w:rsid w:val="00497A49"/>
    <w:rsid w:val="00497A4F"/>
    <w:rsid w:val="004A02B0"/>
    <w:rsid w:val="004A0F18"/>
    <w:rsid w:val="004A10C1"/>
    <w:rsid w:val="004A1671"/>
    <w:rsid w:val="004A1D76"/>
    <w:rsid w:val="004A2114"/>
    <w:rsid w:val="004A2364"/>
    <w:rsid w:val="004A2AF9"/>
    <w:rsid w:val="004A2B86"/>
    <w:rsid w:val="004A2BF8"/>
    <w:rsid w:val="004A34E2"/>
    <w:rsid w:val="004A3998"/>
    <w:rsid w:val="004A3AB7"/>
    <w:rsid w:val="004A3FEC"/>
    <w:rsid w:val="004A4DAA"/>
    <w:rsid w:val="004A4FF3"/>
    <w:rsid w:val="004A5434"/>
    <w:rsid w:val="004A552D"/>
    <w:rsid w:val="004A55AD"/>
    <w:rsid w:val="004A5935"/>
    <w:rsid w:val="004A5A62"/>
    <w:rsid w:val="004A5FD0"/>
    <w:rsid w:val="004A66C7"/>
    <w:rsid w:val="004A6DC7"/>
    <w:rsid w:val="004A6F70"/>
    <w:rsid w:val="004A7051"/>
    <w:rsid w:val="004A728B"/>
    <w:rsid w:val="004A761E"/>
    <w:rsid w:val="004A76E9"/>
    <w:rsid w:val="004A7F08"/>
    <w:rsid w:val="004B05B1"/>
    <w:rsid w:val="004B0B3A"/>
    <w:rsid w:val="004B108F"/>
    <w:rsid w:val="004B199C"/>
    <w:rsid w:val="004B2279"/>
    <w:rsid w:val="004B3079"/>
    <w:rsid w:val="004B3C31"/>
    <w:rsid w:val="004B4A3B"/>
    <w:rsid w:val="004B4B6E"/>
    <w:rsid w:val="004B50D7"/>
    <w:rsid w:val="004B52E4"/>
    <w:rsid w:val="004B5D53"/>
    <w:rsid w:val="004B61F8"/>
    <w:rsid w:val="004B6259"/>
    <w:rsid w:val="004B6279"/>
    <w:rsid w:val="004B629E"/>
    <w:rsid w:val="004B6B69"/>
    <w:rsid w:val="004B7377"/>
    <w:rsid w:val="004B7718"/>
    <w:rsid w:val="004C0445"/>
    <w:rsid w:val="004C05FB"/>
    <w:rsid w:val="004C0807"/>
    <w:rsid w:val="004C0DD5"/>
    <w:rsid w:val="004C12F9"/>
    <w:rsid w:val="004C1644"/>
    <w:rsid w:val="004C16DD"/>
    <w:rsid w:val="004C18BF"/>
    <w:rsid w:val="004C2306"/>
    <w:rsid w:val="004C242D"/>
    <w:rsid w:val="004C2588"/>
    <w:rsid w:val="004C32C7"/>
    <w:rsid w:val="004C39AF"/>
    <w:rsid w:val="004C48E5"/>
    <w:rsid w:val="004C49F8"/>
    <w:rsid w:val="004C5D97"/>
    <w:rsid w:val="004C5F6B"/>
    <w:rsid w:val="004C72F1"/>
    <w:rsid w:val="004D09C1"/>
    <w:rsid w:val="004D0F99"/>
    <w:rsid w:val="004D15A0"/>
    <w:rsid w:val="004D1966"/>
    <w:rsid w:val="004D3362"/>
    <w:rsid w:val="004D3401"/>
    <w:rsid w:val="004D3B9A"/>
    <w:rsid w:val="004D4260"/>
    <w:rsid w:val="004D46C0"/>
    <w:rsid w:val="004D47B1"/>
    <w:rsid w:val="004D47B3"/>
    <w:rsid w:val="004D4EA9"/>
    <w:rsid w:val="004D5458"/>
    <w:rsid w:val="004D5493"/>
    <w:rsid w:val="004D5D22"/>
    <w:rsid w:val="004D693B"/>
    <w:rsid w:val="004D7597"/>
    <w:rsid w:val="004D7716"/>
    <w:rsid w:val="004E0120"/>
    <w:rsid w:val="004E0E0E"/>
    <w:rsid w:val="004E160A"/>
    <w:rsid w:val="004E1681"/>
    <w:rsid w:val="004E19E1"/>
    <w:rsid w:val="004E269B"/>
    <w:rsid w:val="004E26EE"/>
    <w:rsid w:val="004E2DC6"/>
    <w:rsid w:val="004E30F0"/>
    <w:rsid w:val="004E3319"/>
    <w:rsid w:val="004E43FA"/>
    <w:rsid w:val="004E45F0"/>
    <w:rsid w:val="004E4AE7"/>
    <w:rsid w:val="004E4FE4"/>
    <w:rsid w:val="004E4FE7"/>
    <w:rsid w:val="004E505E"/>
    <w:rsid w:val="004E6ADB"/>
    <w:rsid w:val="004E7043"/>
    <w:rsid w:val="004E7384"/>
    <w:rsid w:val="004F118A"/>
    <w:rsid w:val="004F11FE"/>
    <w:rsid w:val="004F125E"/>
    <w:rsid w:val="004F1444"/>
    <w:rsid w:val="004F14B6"/>
    <w:rsid w:val="004F1624"/>
    <w:rsid w:val="004F223E"/>
    <w:rsid w:val="004F270E"/>
    <w:rsid w:val="004F3498"/>
    <w:rsid w:val="004F38A6"/>
    <w:rsid w:val="004F3C96"/>
    <w:rsid w:val="004F486D"/>
    <w:rsid w:val="004F48C0"/>
    <w:rsid w:val="004F54EE"/>
    <w:rsid w:val="004F59B0"/>
    <w:rsid w:val="004F59F4"/>
    <w:rsid w:val="004F5FF0"/>
    <w:rsid w:val="004F607F"/>
    <w:rsid w:val="004F63F0"/>
    <w:rsid w:val="004F7239"/>
    <w:rsid w:val="004F74F0"/>
    <w:rsid w:val="004F75FA"/>
    <w:rsid w:val="004F7CC2"/>
    <w:rsid w:val="00500244"/>
    <w:rsid w:val="005006E1"/>
    <w:rsid w:val="00500C8C"/>
    <w:rsid w:val="00501A9B"/>
    <w:rsid w:val="005023AC"/>
    <w:rsid w:val="005027DF"/>
    <w:rsid w:val="00502A12"/>
    <w:rsid w:val="00502F6D"/>
    <w:rsid w:val="005034EE"/>
    <w:rsid w:val="00503AE9"/>
    <w:rsid w:val="00503FFD"/>
    <w:rsid w:val="00504589"/>
    <w:rsid w:val="00504CD1"/>
    <w:rsid w:val="00505DE3"/>
    <w:rsid w:val="00505F22"/>
    <w:rsid w:val="00505FDB"/>
    <w:rsid w:val="00506028"/>
    <w:rsid w:val="00506693"/>
    <w:rsid w:val="005066FB"/>
    <w:rsid w:val="00506D4E"/>
    <w:rsid w:val="00507041"/>
    <w:rsid w:val="0050730F"/>
    <w:rsid w:val="00507660"/>
    <w:rsid w:val="00507A28"/>
    <w:rsid w:val="005105B5"/>
    <w:rsid w:val="00510692"/>
    <w:rsid w:val="0051099E"/>
    <w:rsid w:val="00510D31"/>
    <w:rsid w:val="00510D80"/>
    <w:rsid w:val="0051143F"/>
    <w:rsid w:val="00511449"/>
    <w:rsid w:val="00511468"/>
    <w:rsid w:val="005114B6"/>
    <w:rsid w:val="00511C41"/>
    <w:rsid w:val="00512175"/>
    <w:rsid w:val="005129F3"/>
    <w:rsid w:val="00513B0C"/>
    <w:rsid w:val="00513FBA"/>
    <w:rsid w:val="005146EB"/>
    <w:rsid w:val="00514AAC"/>
    <w:rsid w:val="00514C1C"/>
    <w:rsid w:val="00514F3C"/>
    <w:rsid w:val="0051509F"/>
    <w:rsid w:val="00515ADD"/>
    <w:rsid w:val="005162E4"/>
    <w:rsid w:val="0051680D"/>
    <w:rsid w:val="005168E5"/>
    <w:rsid w:val="00516A6E"/>
    <w:rsid w:val="005170FA"/>
    <w:rsid w:val="00517972"/>
    <w:rsid w:val="0052003C"/>
    <w:rsid w:val="00520822"/>
    <w:rsid w:val="00520BB8"/>
    <w:rsid w:val="00520FC6"/>
    <w:rsid w:val="005212C4"/>
    <w:rsid w:val="0052135F"/>
    <w:rsid w:val="005218FE"/>
    <w:rsid w:val="005219DB"/>
    <w:rsid w:val="005224F9"/>
    <w:rsid w:val="005227E5"/>
    <w:rsid w:val="00522A16"/>
    <w:rsid w:val="00522C62"/>
    <w:rsid w:val="00523BFA"/>
    <w:rsid w:val="00523C02"/>
    <w:rsid w:val="00523F53"/>
    <w:rsid w:val="005248BD"/>
    <w:rsid w:val="00524FDC"/>
    <w:rsid w:val="00525AC2"/>
    <w:rsid w:val="00525B9C"/>
    <w:rsid w:val="00525E4E"/>
    <w:rsid w:val="00525EBF"/>
    <w:rsid w:val="00526BA1"/>
    <w:rsid w:val="00527134"/>
    <w:rsid w:val="00527471"/>
    <w:rsid w:val="00527A88"/>
    <w:rsid w:val="00530597"/>
    <w:rsid w:val="0053070B"/>
    <w:rsid w:val="00530BEA"/>
    <w:rsid w:val="0053122E"/>
    <w:rsid w:val="00532193"/>
    <w:rsid w:val="0053229B"/>
    <w:rsid w:val="005322B3"/>
    <w:rsid w:val="005323C0"/>
    <w:rsid w:val="00532C3A"/>
    <w:rsid w:val="0053342F"/>
    <w:rsid w:val="005340D3"/>
    <w:rsid w:val="005348E8"/>
    <w:rsid w:val="005355B7"/>
    <w:rsid w:val="0053583A"/>
    <w:rsid w:val="00535DA6"/>
    <w:rsid w:val="005365A4"/>
    <w:rsid w:val="00537202"/>
    <w:rsid w:val="00537E8A"/>
    <w:rsid w:val="0054113D"/>
    <w:rsid w:val="005412E0"/>
    <w:rsid w:val="00541939"/>
    <w:rsid w:val="00541BBE"/>
    <w:rsid w:val="005421B9"/>
    <w:rsid w:val="0054272E"/>
    <w:rsid w:val="00542EAF"/>
    <w:rsid w:val="0054305F"/>
    <w:rsid w:val="005438BD"/>
    <w:rsid w:val="0054404D"/>
    <w:rsid w:val="00544B6B"/>
    <w:rsid w:val="00544E58"/>
    <w:rsid w:val="00544EDE"/>
    <w:rsid w:val="005451F4"/>
    <w:rsid w:val="00547ABE"/>
    <w:rsid w:val="00550298"/>
    <w:rsid w:val="005502A3"/>
    <w:rsid w:val="00551B23"/>
    <w:rsid w:val="00551CD3"/>
    <w:rsid w:val="00551D6C"/>
    <w:rsid w:val="00552080"/>
    <w:rsid w:val="0055218E"/>
    <w:rsid w:val="0055256A"/>
    <w:rsid w:val="00552EF9"/>
    <w:rsid w:val="00552FDC"/>
    <w:rsid w:val="00553352"/>
    <w:rsid w:val="0055398B"/>
    <w:rsid w:val="00553D45"/>
    <w:rsid w:val="0055403F"/>
    <w:rsid w:val="005541B3"/>
    <w:rsid w:val="005541EF"/>
    <w:rsid w:val="005544AD"/>
    <w:rsid w:val="005546ED"/>
    <w:rsid w:val="0055476E"/>
    <w:rsid w:val="005548EB"/>
    <w:rsid w:val="00555318"/>
    <w:rsid w:val="0055540A"/>
    <w:rsid w:val="005556A3"/>
    <w:rsid w:val="00555727"/>
    <w:rsid w:val="00555FE4"/>
    <w:rsid w:val="00556AF6"/>
    <w:rsid w:val="00556FA0"/>
    <w:rsid w:val="00557B4E"/>
    <w:rsid w:val="005605F5"/>
    <w:rsid w:val="00560728"/>
    <w:rsid w:val="005607A5"/>
    <w:rsid w:val="005607C8"/>
    <w:rsid w:val="00560AC5"/>
    <w:rsid w:val="00562623"/>
    <w:rsid w:val="00562B22"/>
    <w:rsid w:val="00562C77"/>
    <w:rsid w:val="00562F95"/>
    <w:rsid w:val="00563195"/>
    <w:rsid w:val="005632F4"/>
    <w:rsid w:val="0056392D"/>
    <w:rsid w:val="00563DF3"/>
    <w:rsid w:val="0056416A"/>
    <w:rsid w:val="00564256"/>
    <w:rsid w:val="00564BDB"/>
    <w:rsid w:val="00564FA7"/>
    <w:rsid w:val="005657C6"/>
    <w:rsid w:val="00565C6A"/>
    <w:rsid w:val="00565DA6"/>
    <w:rsid w:val="005667CE"/>
    <w:rsid w:val="00566839"/>
    <w:rsid w:val="00566B80"/>
    <w:rsid w:val="00566E90"/>
    <w:rsid w:val="00567861"/>
    <w:rsid w:val="00567AFF"/>
    <w:rsid w:val="00567B58"/>
    <w:rsid w:val="00567ED0"/>
    <w:rsid w:val="00567FC5"/>
    <w:rsid w:val="00570060"/>
    <w:rsid w:val="00570B25"/>
    <w:rsid w:val="00570C92"/>
    <w:rsid w:val="005710EE"/>
    <w:rsid w:val="00571512"/>
    <w:rsid w:val="00571856"/>
    <w:rsid w:val="00571F2C"/>
    <w:rsid w:val="00572AB5"/>
    <w:rsid w:val="00572E7B"/>
    <w:rsid w:val="00572ED6"/>
    <w:rsid w:val="00573200"/>
    <w:rsid w:val="00573B7A"/>
    <w:rsid w:val="00574675"/>
    <w:rsid w:val="00574A60"/>
    <w:rsid w:val="00574A8D"/>
    <w:rsid w:val="00574C87"/>
    <w:rsid w:val="00574D81"/>
    <w:rsid w:val="005753E6"/>
    <w:rsid w:val="005754F5"/>
    <w:rsid w:val="00575953"/>
    <w:rsid w:val="005768F4"/>
    <w:rsid w:val="00576A3B"/>
    <w:rsid w:val="00576E63"/>
    <w:rsid w:val="0057736D"/>
    <w:rsid w:val="00577746"/>
    <w:rsid w:val="00577DE0"/>
    <w:rsid w:val="0058099C"/>
    <w:rsid w:val="00580E46"/>
    <w:rsid w:val="00581786"/>
    <w:rsid w:val="005828AE"/>
    <w:rsid w:val="00582B0A"/>
    <w:rsid w:val="00583072"/>
    <w:rsid w:val="005834EF"/>
    <w:rsid w:val="005835D0"/>
    <w:rsid w:val="0058361F"/>
    <w:rsid w:val="0058364F"/>
    <w:rsid w:val="00583A20"/>
    <w:rsid w:val="005845EC"/>
    <w:rsid w:val="00586BB5"/>
    <w:rsid w:val="00587542"/>
    <w:rsid w:val="005879F8"/>
    <w:rsid w:val="005907BF"/>
    <w:rsid w:val="0059099E"/>
    <w:rsid w:val="005909FA"/>
    <w:rsid w:val="00590CE7"/>
    <w:rsid w:val="0059104C"/>
    <w:rsid w:val="00591795"/>
    <w:rsid w:val="00591E92"/>
    <w:rsid w:val="00592750"/>
    <w:rsid w:val="005927E8"/>
    <w:rsid w:val="005934E4"/>
    <w:rsid w:val="005936BD"/>
    <w:rsid w:val="00593C12"/>
    <w:rsid w:val="005946A8"/>
    <w:rsid w:val="00595265"/>
    <w:rsid w:val="00595362"/>
    <w:rsid w:val="00595501"/>
    <w:rsid w:val="00596095"/>
    <w:rsid w:val="00596C8B"/>
    <w:rsid w:val="0059735F"/>
    <w:rsid w:val="005978F6"/>
    <w:rsid w:val="005A01BA"/>
    <w:rsid w:val="005A036D"/>
    <w:rsid w:val="005A1802"/>
    <w:rsid w:val="005A18E2"/>
    <w:rsid w:val="005A31CC"/>
    <w:rsid w:val="005A34E2"/>
    <w:rsid w:val="005A4B31"/>
    <w:rsid w:val="005A4D56"/>
    <w:rsid w:val="005A54C1"/>
    <w:rsid w:val="005A582E"/>
    <w:rsid w:val="005A5D99"/>
    <w:rsid w:val="005A6196"/>
    <w:rsid w:val="005A68DF"/>
    <w:rsid w:val="005A7C95"/>
    <w:rsid w:val="005B09EF"/>
    <w:rsid w:val="005B0AF2"/>
    <w:rsid w:val="005B1D87"/>
    <w:rsid w:val="005B2F6E"/>
    <w:rsid w:val="005B2FA7"/>
    <w:rsid w:val="005B3298"/>
    <w:rsid w:val="005B3423"/>
    <w:rsid w:val="005B43F4"/>
    <w:rsid w:val="005B48B4"/>
    <w:rsid w:val="005B48F8"/>
    <w:rsid w:val="005B4F37"/>
    <w:rsid w:val="005B5048"/>
    <w:rsid w:val="005B5348"/>
    <w:rsid w:val="005B5387"/>
    <w:rsid w:val="005B54DF"/>
    <w:rsid w:val="005B5C68"/>
    <w:rsid w:val="005B5CDB"/>
    <w:rsid w:val="005B5E52"/>
    <w:rsid w:val="005B7A78"/>
    <w:rsid w:val="005B7E93"/>
    <w:rsid w:val="005B7FD4"/>
    <w:rsid w:val="005C02EC"/>
    <w:rsid w:val="005C0C11"/>
    <w:rsid w:val="005C0EAC"/>
    <w:rsid w:val="005C1111"/>
    <w:rsid w:val="005C1720"/>
    <w:rsid w:val="005C1C45"/>
    <w:rsid w:val="005C1F9A"/>
    <w:rsid w:val="005C20CE"/>
    <w:rsid w:val="005C3557"/>
    <w:rsid w:val="005C3FAA"/>
    <w:rsid w:val="005C426D"/>
    <w:rsid w:val="005C44B5"/>
    <w:rsid w:val="005C4E18"/>
    <w:rsid w:val="005C4EEE"/>
    <w:rsid w:val="005C577E"/>
    <w:rsid w:val="005C58F8"/>
    <w:rsid w:val="005C5ABF"/>
    <w:rsid w:val="005C5D92"/>
    <w:rsid w:val="005C64C4"/>
    <w:rsid w:val="005C6712"/>
    <w:rsid w:val="005C673F"/>
    <w:rsid w:val="005C7AD6"/>
    <w:rsid w:val="005C7AE6"/>
    <w:rsid w:val="005C7BC3"/>
    <w:rsid w:val="005D0295"/>
    <w:rsid w:val="005D0E76"/>
    <w:rsid w:val="005D1091"/>
    <w:rsid w:val="005D1D04"/>
    <w:rsid w:val="005D1D87"/>
    <w:rsid w:val="005D1FCC"/>
    <w:rsid w:val="005D2D88"/>
    <w:rsid w:val="005D2FB6"/>
    <w:rsid w:val="005D3785"/>
    <w:rsid w:val="005D38C4"/>
    <w:rsid w:val="005D4135"/>
    <w:rsid w:val="005D494D"/>
    <w:rsid w:val="005D4C0C"/>
    <w:rsid w:val="005D57C8"/>
    <w:rsid w:val="005D5C7B"/>
    <w:rsid w:val="005D6065"/>
    <w:rsid w:val="005D6520"/>
    <w:rsid w:val="005D6834"/>
    <w:rsid w:val="005D6E59"/>
    <w:rsid w:val="005D71F0"/>
    <w:rsid w:val="005D7930"/>
    <w:rsid w:val="005D7C73"/>
    <w:rsid w:val="005D7F05"/>
    <w:rsid w:val="005E023C"/>
    <w:rsid w:val="005E0B56"/>
    <w:rsid w:val="005E12A1"/>
    <w:rsid w:val="005E223B"/>
    <w:rsid w:val="005E26C1"/>
    <w:rsid w:val="005E2B32"/>
    <w:rsid w:val="005E2F5F"/>
    <w:rsid w:val="005E339F"/>
    <w:rsid w:val="005E39AC"/>
    <w:rsid w:val="005E47AE"/>
    <w:rsid w:val="005E528E"/>
    <w:rsid w:val="005E647A"/>
    <w:rsid w:val="005E6590"/>
    <w:rsid w:val="005E6783"/>
    <w:rsid w:val="005E6AF7"/>
    <w:rsid w:val="005E7109"/>
    <w:rsid w:val="005E731A"/>
    <w:rsid w:val="005E7768"/>
    <w:rsid w:val="005E7C31"/>
    <w:rsid w:val="005E7CC6"/>
    <w:rsid w:val="005E7EFB"/>
    <w:rsid w:val="005F0349"/>
    <w:rsid w:val="005F046A"/>
    <w:rsid w:val="005F06A0"/>
    <w:rsid w:val="005F0BD7"/>
    <w:rsid w:val="005F0D85"/>
    <w:rsid w:val="005F1178"/>
    <w:rsid w:val="005F117D"/>
    <w:rsid w:val="005F159F"/>
    <w:rsid w:val="005F1A1F"/>
    <w:rsid w:val="005F1FAB"/>
    <w:rsid w:val="005F2C90"/>
    <w:rsid w:val="005F2E7B"/>
    <w:rsid w:val="005F3CC0"/>
    <w:rsid w:val="005F427E"/>
    <w:rsid w:val="005F429D"/>
    <w:rsid w:val="005F43E3"/>
    <w:rsid w:val="005F4DB2"/>
    <w:rsid w:val="005F4F14"/>
    <w:rsid w:val="005F50F6"/>
    <w:rsid w:val="005F5D3C"/>
    <w:rsid w:val="005F5E69"/>
    <w:rsid w:val="005F6646"/>
    <w:rsid w:val="005F6B50"/>
    <w:rsid w:val="005F6CC7"/>
    <w:rsid w:val="005F7099"/>
    <w:rsid w:val="005F7AA8"/>
    <w:rsid w:val="005F7D14"/>
    <w:rsid w:val="0060028A"/>
    <w:rsid w:val="00600C73"/>
    <w:rsid w:val="00600ECA"/>
    <w:rsid w:val="00601487"/>
    <w:rsid w:val="006015D7"/>
    <w:rsid w:val="00601DA5"/>
    <w:rsid w:val="00601EE4"/>
    <w:rsid w:val="00603587"/>
    <w:rsid w:val="00603C06"/>
    <w:rsid w:val="00603C0D"/>
    <w:rsid w:val="00604533"/>
    <w:rsid w:val="00604585"/>
    <w:rsid w:val="006048AB"/>
    <w:rsid w:val="00604C11"/>
    <w:rsid w:val="00605045"/>
    <w:rsid w:val="00605D40"/>
    <w:rsid w:val="006062FE"/>
    <w:rsid w:val="00606554"/>
    <w:rsid w:val="00606D43"/>
    <w:rsid w:val="00607C39"/>
    <w:rsid w:val="00607C53"/>
    <w:rsid w:val="00610128"/>
    <w:rsid w:val="00610208"/>
    <w:rsid w:val="006106AD"/>
    <w:rsid w:val="00610B57"/>
    <w:rsid w:val="006110B6"/>
    <w:rsid w:val="00611E2A"/>
    <w:rsid w:val="006125CC"/>
    <w:rsid w:val="006125EE"/>
    <w:rsid w:val="00612FF4"/>
    <w:rsid w:val="00613107"/>
    <w:rsid w:val="0061328D"/>
    <w:rsid w:val="00614B8E"/>
    <w:rsid w:val="00614F9C"/>
    <w:rsid w:val="00615155"/>
    <w:rsid w:val="006152D6"/>
    <w:rsid w:val="00615696"/>
    <w:rsid w:val="00615B3E"/>
    <w:rsid w:val="00616740"/>
    <w:rsid w:val="00616E35"/>
    <w:rsid w:val="00617895"/>
    <w:rsid w:val="006178D0"/>
    <w:rsid w:val="00617A02"/>
    <w:rsid w:val="00617C8F"/>
    <w:rsid w:val="006201A2"/>
    <w:rsid w:val="006213E4"/>
    <w:rsid w:val="006215FE"/>
    <w:rsid w:val="00621AAC"/>
    <w:rsid w:val="00621AB4"/>
    <w:rsid w:val="0062308D"/>
    <w:rsid w:val="00623315"/>
    <w:rsid w:val="006236DB"/>
    <w:rsid w:val="006239A6"/>
    <w:rsid w:val="00623EC7"/>
    <w:rsid w:val="00623EC8"/>
    <w:rsid w:val="00624418"/>
    <w:rsid w:val="00624FAC"/>
    <w:rsid w:val="006250B1"/>
    <w:rsid w:val="006252A9"/>
    <w:rsid w:val="00625981"/>
    <w:rsid w:val="00625CF0"/>
    <w:rsid w:val="00626853"/>
    <w:rsid w:val="00627388"/>
    <w:rsid w:val="006275B9"/>
    <w:rsid w:val="00627788"/>
    <w:rsid w:val="006277CA"/>
    <w:rsid w:val="00627F0B"/>
    <w:rsid w:val="006301FF"/>
    <w:rsid w:val="006304EF"/>
    <w:rsid w:val="0063070D"/>
    <w:rsid w:val="00630B20"/>
    <w:rsid w:val="00630F42"/>
    <w:rsid w:val="006312E9"/>
    <w:rsid w:val="006319DB"/>
    <w:rsid w:val="00632116"/>
    <w:rsid w:val="006323C2"/>
    <w:rsid w:val="00632F93"/>
    <w:rsid w:val="00632FF2"/>
    <w:rsid w:val="00635927"/>
    <w:rsid w:val="006368DA"/>
    <w:rsid w:val="00636AB0"/>
    <w:rsid w:val="0063751B"/>
    <w:rsid w:val="0063795A"/>
    <w:rsid w:val="006403FE"/>
    <w:rsid w:val="0064071E"/>
    <w:rsid w:val="00641A37"/>
    <w:rsid w:val="00641BF1"/>
    <w:rsid w:val="006426E5"/>
    <w:rsid w:val="00642F66"/>
    <w:rsid w:val="00643555"/>
    <w:rsid w:val="00643701"/>
    <w:rsid w:val="0064394E"/>
    <w:rsid w:val="00643D63"/>
    <w:rsid w:val="006441C9"/>
    <w:rsid w:val="00644498"/>
    <w:rsid w:val="0064477F"/>
    <w:rsid w:val="00644A65"/>
    <w:rsid w:val="00644A72"/>
    <w:rsid w:val="00644C75"/>
    <w:rsid w:val="00645011"/>
    <w:rsid w:val="00645FBD"/>
    <w:rsid w:val="006478C2"/>
    <w:rsid w:val="00647A1B"/>
    <w:rsid w:val="0065056B"/>
    <w:rsid w:val="00650648"/>
    <w:rsid w:val="00650FEF"/>
    <w:rsid w:val="0065139D"/>
    <w:rsid w:val="00651A0F"/>
    <w:rsid w:val="00651A64"/>
    <w:rsid w:val="00651D02"/>
    <w:rsid w:val="006537BB"/>
    <w:rsid w:val="00653A5C"/>
    <w:rsid w:val="00653C9A"/>
    <w:rsid w:val="00653CF9"/>
    <w:rsid w:val="006544C1"/>
    <w:rsid w:val="00655738"/>
    <w:rsid w:val="00655858"/>
    <w:rsid w:val="006558EF"/>
    <w:rsid w:val="00655CB3"/>
    <w:rsid w:val="00655CD0"/>
    <w:rsid w:val="00656151"/>
    <w:rsid w:val="006567C1"/>
    <w:rsid w:val="0065680E"/>
    <w:rsid w:val="006570D7"/>
    <w:rsid w:val="006574C6"/>
    <w:rsid w:val="00657956"/>
    <w:rsid w:val="00660860"/>
    <w:rsid w:val="00660924"/>
    <w:rsid w:val="00660DE5"/>
    <w:rsid w:val="006610A9"/>
    <w:rsid w:val="006615C9"/>
    <w:rsid w:val="00661FF3"/>
    <w:rsid w:val="00662304"/>
    <w:rsid w:val="006624F1"/>
    <w:rsid w:val="006635B0"/>
    <w:rsid w:val="006653BD"/>
    <w:rsid w:val="006655B2"/>
    <w:rsid w:val="00665789"/>
    <w:rsid w:val="00665793"/>
    <w:rsid w:val="00665BAD"/>
    <w:rsid w:val="00665F10"/>
    <w:rsid w:val="006670B1"/>
    <w:rsid w:val="00667192"/>
    <w:rsid w:val="00667BA0"/>
    <w:rsid w:val="00667E25"/>
    <w:rsid w:val="00667F84"/>
    <w:rsid w:val="0067011D"/>
    <w:rsid w:val="0067015D"/>
    <w:rsid w:val="00670D46"/>
    <w:rsid w:val="00671688"/>
    <w:rsid w:val="0067185D"/>
    <w:rsid w:val="006725AD"/>
    <w:rsid w:val="00672C83"/>
    <w:rsid w:val="006734A1"/>
    <w:rsid w:val="00673A86"/>
    <w:rsid w:val="006741CD"/>
    <w:rsid w:val="00674A28"/>
    <w:rsid w:val="00674B42"/>
    <w:rsid w:val="0067526F"/>
    <w:rsid w:val="00675410"/>
    <w:rsid w:val="0067590B"/>
    <w:rsid w:val="00675E35"/>
    <w:rsid w:val="006764D0"/>
    <w:rsid w:val="006764E5"/>
    <w:rsid w:val="00676651"/>
    <w:rsid w:val="00676B43"/>
    <w:rsid w:val="00676BB4"/>
    <w:rsid w:val="00676CD8"/>
    <w:rsid w:val="00677820"/>
    <w:rsid w:val="00681B29"/>
    <w:rsid w:val="00681DDE"/>
    <w:rsid w:val="00681E0D"/>
    <w:rsid w:val="00682027"/>
    <w:rsid w:val="00682946"/>
    <w:rsid w:val="00683235"/>
    <w:rsid w:val="006837AA"/>
    <w:rsid w:val="00683AC2"/>
    <w:rsid w:val="00683DC6"/>
    <w:rsid w:val="00684F18"/>
    <w:rsid w:val="006853D4"/>
    <w:rsid w:val="0068584E"/>
    <w:rsid w:val="00685916"/>
    <w:rsid w:val="00686286"/>
    <w:rsid w:val="0068635D"/>
    <w:rsid w:val="0068672B"/>
    <w:rsid w:val="00687590"/>
    <w:rsid w:val="00687B0C"/>
    <w:rsid w:val="00687D94"/>
    <w:rsid w:val="0069054F"/>
    <w:rsid w:val="006905E7"/>
    <w:rsid w:val="00690D5F"/>
    <w:rsid w:val="00691B5E"/>
    <w:rsid w:val="00691FB4"/>
    <w:rsid w:val="00691FFB"/>
    <w:rsid w:val="0069234F"/>
    <w:rsid w:val="00692B30"/>
    <w:rsid w:val="00692E47"/>
    <w:rsid w:val="00693019"/>
    <w:rsid w:val="00693E7C"/>
    <w:rsid w:val="00694186"/>
    <w:rsid w:val="00694A04"/>
    <w:rsid w:val="006956C7"/>
    <w:rsid w:val="00695B9A"/>
    <w:rsid w:val="00695C72"/>
    <w:rsid w:val="00696D43"/>
    <w:rsid w:val="00696DB9"/>
    <w:rsid w:val="00696F0B"/>
    <w:rsid w:val="0069762F"/>
    <w:rsid w:val="00697C5D"/>
    <w:rsid w:val="006A1144"/>
    <w:rsid w:val="006A115F"/>
    <w:rsid w:val="006A201D"/>
    <w:rsid w:val="006A2158"/>
    <w:rsid w:val="006A27F7"/>
    <w:rsid w:val="006A2FB9"/>
    <w:rsid w:val="006A300B"/>
    <w:rsid w:val="006A37FC"/>
    <w:rsid w:val="006A3A84"/>
    <w:rsid w:val="006A3EB8"/>
    <w:rsid w:val="006A405F"/>
    <w:rsid w:val="006A46CC"/>
    <w:rsid w:val="006A478A"/>
    <w:rsid w:val="006A48D5"/>
    <w:rsid w:val="006A4E21"/>
    <w:rsid w:val="006A4F69"/>
    <w:rsid w:val="006A4F83"/>
    <w:rsid w:val="006A5011"/>
    <w:rsid w:val="006A536C"/>
    <w:rsid w:val="006A5D8D"/>
    <w:rsid w:val="006A6A7B"/>
    <w:rsid w:val="006A7499"/>
    <w:rsid w:val="006A7E59"/>
    <w:rsid w:val="006A7EA5"/>
    <w:rsid w:val="006A7FD1"/>
    <w:rsid w:val="006B0007"/>
    <w:rsid w:val="006B0BB2"/>
    <w:rsid w:val="006B14B7"/>
    <w:rsid w:val="006B1659"/>
    <w:rsid w:val="006B18B1"/>
    <w:rsid w:val="006B1A42"/>
    <w:rsid w:val="006B2B4A"/>
    <w:rsid w:val="006B32A8"/>
    <w:rsid w:val="006B3511"/>
    <w:rsid w:val="006B40D4"/>
    <w:rsid w:val="006B48F3"/>
    <w:rsid w:val="006B499C"/>
    <w:rsid w:val="006B4D60"/>
    <w:rsid w:val="006B603A"/>
    <w:rsid w:val="006B6D3E"/>
    <w:rsid w:val="006B6D7A"/>
    <w:rsid w:val="006B7422"/>
    <w:rsid w:val="006B767C"/>
    <w:rsid w:val="006C06BB"/>
    <w:rsid w:val="006C10A6"/>
    <w:rsid w:val="006C1605"/>
    <w:rsid w:val="006C1D77"/>
    <w:rsid w:val="006C278A"/>
    <w:rsid w:val="006C2D9F"/>
    <w:rsid w:val="006C3126"/>
    <w:rsid w:val="006C38B6"/>
    <w:rsid w:val="006C3F36"/>
    <w:rsid w:val="006C3FEE"/>
    <w:rsid w:val="006C4066"/>
    <w:rsid w:val="006C440D"/>
    <w:rsid w:val="006C464B"/>
    <w:rsid w:val="006C4B63"/>
    <w:rsid w:val="006C4C9F"/>
    <w:rsid w:val="006C4EB3"/>
    <w:rsid w:val="006C4EB6"/>
    <w:rsid w:val="006C4FA9"/>
    <w:rsid w:val="006C4FE5"/>
    <w:rsid w:val="006C52FB"/>
    <w:rsid w:val="006C5862"/>
    <w:rsid w:val="006C62F2"/>
    <w:rsid w:val="006C6687"/>
    <w:rsid w:val="006C6C56"/>
    <w:rsid w:val="006C6FE9"/>
    <w:rsid w:val="006C7843"/>
    <w:rsid w:val="006C7C3B"/>
    <w:rsid w:val="006C7F4B"/>
    <w:rsid w:val="006D0177"/>
    <w:rsid w:val="006D0623"/>
    <w:rsid w:val="006D07AF"/>
    <w:rsid w:val="006D0A75"/>
    <w:rsid w:val="006D0EC7"/>
    <w:rsid w:val="006D165A"/>
    <w:rsid w:val="006D26E4"/>
    <w:rsid w:val="006D2C51"/>
    <w:rsid w:val="006D2D80"/>
    <w:rsid w:val="006D302B"/>
    <w:rsid w:val="006D30C0"/>
    <w:rsid w:val="006D336F"/>
    <w:rsid w:val="006D4BF3"/>
    <w:rsid w:val="006D4EB2"/>
    <w:rsid w:val="006D50AE"/>
    <w:rsid w:val="006D5362"/>
    <w:rsid w:val="006D5386"/>
    <w:rsid w:val="006D5427"/>
    <w:rsid w:val="006D54DC"/>
    <w:rsid w:val="006D550F"/>
    <w:rsid w:val="006D5822"/>
    <w:rsid w:val="006D6522"/>
    <w:rsid w:val="006D715A"/>
    <w:rsid w:val="006D776C"/>
    <w:rsid w:val="006D7AD6"/>
    <w:rsid w:val="006D7CF1"/>
    <w:rsid w:val="006D7F42"/>
    <w:rsid w:val="006E0192"/>
    <w:rsid w:val="006E0562"/>
    <w:rsid w:val="006E11E6"/>
    <w:rsid w:val="006E13B6"/>
    <w:rsid w:val="006E1C8E"/>
    <w:rsid w:val="006E1D7E"/>
    <w:rsid w:val="006E1E59"/>
    <w:rsid w:val="006E1F64"/>
    <w:rsid w:val="006E20B3"/>
    <w:rsid w:val="006E30DE"/>
    <w:rsid w:val="006E34A0"/>
    <w:rsid w:val="006E3789"/>
    <w:rsid w:val="006E37C3"/>
    <w:rsid w:val="006E43B4"/>
    <w:rsid w:val="006E44CF"/>
    <w:rsid w:val="006E4ADC"/>
    <w:rsid w:val="006E4B7C"/>
    <w:rsid w:val="006E4D74"/>
    <w:rsid w:val="006E4E37"/>
    <w:rsid w:val="006E56A7"/>
    <w:rsid w:val="006E5D21"/>
    <w:rsid w:val="006E5D47"/>
    <w:rsid w:val="006E6B8A"/>
    <w:rsid w:val="006E6CBF"/>
    <w:rsid w:val="006E6D29"/>
    <w:rsid w:val="006E6D89"/>
    <w:rsid w:val="006E7779"/>
    <w:rsid w:val="006F01AA"/>
    <w:rsid w:val="006F046A"/>
    <w:rsid w:val="006F1914"/>
    <w:rsid w:val="006F218D"/>
    <w:rsid w:val="006F2D92"/>
    <w:rsid w:val="006F2F3E"/>
    <w:rsid w:val="006F3C2D"/>
    <w:rsid w:val="006F453B"/>
    <w:rsid w:val="006F46EE"/>
    <w:rsid w:val="006F4741"/>
    <w:rsid w:val="006F622A"/>
    <w:rsid w:val="006F66AB"/>
    <w:rsid w:val="006F6B7F"/>
    <w:rsid w:val="006F6D06"/>
    <w:rsid w:val="006F7267"/>
    <w:rsid w:val="006F7AA5"/>
    <w:rsid w:val="006F7BBB"/>
    <w:rsid w:val="006F7D03"/>
    <w:rsid w:val="007005ED"/>
    <w:rsid w:val="0070063C"/>
    <w:rsid w:val="007006D1"/>
    <w:rsid w:val="00700A9D"/>
    <w:rsid w:val="007010CA"/>
    <w:rsid w:val="007017BA"/>
    <w:rsid w:val="00701A00"/>
    <w:rsid w:val="00701D67"/>
    <w:rsid w:val="00701EE4"/>
    <w:rsid w:val="00702449"/>
    <w:rsid w:val="007028BF"/>
    <w:rsid w:val="007035A4"/>
    <w:rsid w:val="00703750"/>
    <w:rsid w:val="00703CD0"/>
    <w:rsid w:val="00703E48"/>
    <w:rsid w:val="007041BB"/>
    <w:rsid w:val="0070433F"/>
    <w:rsid w:val="007045D3"/>
    <w:rsid w:val="00704DB2"/>
    <w:rsid w:val="00705A53"/>
    <w:rsid w:val="00705D63"/>
    <w:rsid w:val="00705EA4"/>
    <w:rsid w:val="007066DC"/>
    <w:rsid w:val="007077E6"/>
    <w:rsid w:val="00707836"/>
    <w:rsid w:val="00707859"/>
    <w:rsid w:val="00710275"/>
    <w:rsid w:val="00710986"/>
    <w:rsid w:val="00710AB5"/>
    <w:rsid w:val="00710C58"/>
    <w:rsid w:val="00710DA7"/>
    <w:rsid w:val="007116DC"/>
    <w:rsid w:val="0071174D"/>
    <w:rsid w:val="00711BA3"/>
    <w:rsid w:val="00712C5F"/>
    <w:rsid w:val="007135A2"/>
    <w:rsid w:val="007139FB"/>
    <w:rsid w:val="00713CC2"/>
    <w:rsid w:val="00713DCF"/>
    <w:rsid w:val="0071480B"/>
    <w:rsid w:val="007149E6"/>
    <w:rsid w:val="00714B56"/>
    <w:rsid w:val="00715E60"/>
    <w:rsid w:val="00716896"/>
    <w:rsid w:val="00716FB0"/>
    <w:rsid w:val="0072047E"/>
    <w:rsid w:val="007204B4"/>
    <w:rsid w:val="00720F3B"/>
    <w:rsid w:val="0072176B"/>
    <w:rsid w:val="007217FD"/>
    <w:rsid w:val="00721A99"/>
    <w:rsid w:val="00722253"/>
    <w:rsid w:val="00722336"/>
    <w:rsid w:val="00722546"/>
    <w:rsid w:val="0072284D"/>
    <w:rsid w:val="00722B4B"/>
    <w:rsid w:val="00723202"/>
    <w:rsid w:val="00723C98"/>
    <w:rsid w:val="00723E8F"/>
    <w:rsid w:val="00724118"/>
    <w:rsid w:val="00724571"/>
    <w:rsid w:val="007247A3"/>
    <w:rsid w:val="00724AD7"/>
    <w:rsid w:val="00724C2E"/>
    <w:rsid w:val="00725069"/>
    <w:rsid w:val="00725173"/>
    <w:rsid w:val="00725394"/>
    <w:rsid w:val="00725745"/>
    <w:rsid w:val="0072634B"/>
    <w:rsid w:val="0072640C"/>
    <w:rsid w:val="00726A9F"/>
    <w:rsid w:val="00726FA2"/>
    <w:rsid w:val="007276EC"/>
    <w:rsid w:val="00730784"/>
    <w:rsid w:val="007309C9"/>
    <w:rsid w:val="00731C5D"/>
    <w:rsid w:val="0073269F"/>
    <w:rsid w:val="00732BA7"/>
    <w:rsid w:val="0073330B"/>
    <w:rsid w:val="007336EE"/>
    <w:rsid w:val="00733EA7"/>
    <w:rsid w:val="0073422D"/>
    <w:rsid w:val="00735992"/>
    <w:rsid w:val="00735BD1"/>
    <w:rsid w:val="00736358"/>
    <w:rsid w:val="007368E6"/>
    <w:rsid w:val="00736B15"/>
    <w:rsid w:val="00736E15"/>
    <w:rsid w:val="007371B9"/>
    <w:rsid w:val="007376F7"/>
    <w:rsid w:val="007378B7"/>
    <w:rsid w:val="00737E1B"/>
    <w:rsid w:val="00740091"/>
    <w:rsid w:val="0074037F"/>
    <w:rsid w:val="00740791"/>
    <w:rsid w:val="00740C18"/>
    <w:rsid w:val="00741525"/>
    <w:rsid w:val="007418CC"/>
    <w:rsid w:val="00741906"/>
    <w:rsid w:val="00742C2B"/>
    <w:rsid w:val="00744327"/>
    <w:rsid w:val="00744A86"/>
    <w:rsid w:val="00744AAF"/>
    <w:rsid w:val="00745386"/>
    <w:rsid w:val="007458BA"/>
    <w:rsid w:val="00746A91"/>
    <w:rsid w:val="0074786E"/>
    <w:rsid w:val="007507FF"/>
    <w:rsid w:val="007509AB"/>
    <w:rsid w:val="007512C3"/>
    <w:rsid w:val="0075181C"/>
    <w:rsid w:val="0075228A"/>
    <w:rsid w:val="00752A01"/>
    <w:rsid w:val="00752C16"/>
    <w:rsid w:val="007538A7"/>
    <w:rsid w:val="00754106"/>
    <w:rsid w:val="00754363"/>
    <w:rsid w:val="00754498"/>
    <w:rsid w:val="007549BC"/>
    <w:rsid w:val="007551AD"/>
    <w:rsid w:val="00755E54"/>
    <w:rsid w:val="00756296"/>
    <w:rsid w:val="00756EB6"/>
    <w:rsid w:val="007579DA"/>
    <w:rsid w:val="00757FEA"/>
    <w:rsid w:val="0076054E"/>
    <w:rsid w:val="00760FFE"/>
    <w:rsid w:val="007610BC"/>
    <w:rsid w:val="00761111"/>
    <w:rsid w:val="0076183C"/>
    <w:rsid w:val="00761C68"/>
    <w:rsid w:val="00762359"/>
    <w:rsid w:val="00762826"/>
    <w:rsid w:val="00762C14"/>
    <w:rsid w:val="00762D96"/>
    <w:rsid w:val="0076365D"/>
    <w:rsid w:val="00764281"/>
    <w:rsid w:val="00764708"/>
    <w:rsid w:val="007648AD"/>
    <w:rsid w:val="00764B32"/>
    <w:rsid w:val="007652C3"/>
    <w:rsid w:val="0076583A"/>
    <w:rsid w:val="00766AD0"/>
    <w:rsid w:val="00766D66"/>
    <w:rsid w:val="00767034"/>
    <w:rsid w:val="007672E5"/>
    <w:rsid w:val="007673BC"/>
    <w:rsid w:val="00767423"/>
    <w:rsid w:val="0077020F"/>
    <w:rsid w:val="00770C29"/>
    <w:rsid w:val="0077122F"/>
    <w:rsid w:val="007712A8"/>
    <w:rsid w:val="007712F9"/>
    <w:rsid w:val="00771E85"/>
    <w:rsid w:val="007738E9"/>
    <w:rsid w:val="007745FB"/>
    <w:rsid w:val="0077530F"/>
    <w:rsid w:val="00776857"/>
    <w:rsid w:val="007768E0"/>
    <w:rsid w:val="00776FC7"/>
    <w:rsid w:val="00777097"/>
    <w:rsid w:val="00777622"/>
    <w:rsid w:val="007778A4"/>
    <w:rsid w:val="00777E2F"/>
    <w:rsid w:val="00777F71"/>
    <w:rsid w:val="007801BC"/>
    <w:rsid w:val="007804EF"/>
    <w:rsid w:val="00780AE2"/>
    <w:rsid w:val="00780BFF"/>
    <w:rsid w:val="00780EE3"/>
    <w:rsid w:val="00781672"/>
    <w:rsid w:val="00781B41"/>
    <w:rsid w:val="00781C3C"/>
    <w:rsid w:val="0078207E"/>
    <w:rsid w:val="0078217A"/>
    <w:rsid w:val="007821C7"/>
    <w:rsid w:val="00782C9C"/>
    <w:rsid w:val="00783B01"/>
    <w:rsid w:val="00783D40"/>
    <w:rsid w:val="0078478B"/>
    <w:rsid w:val="00785039"/>
    <w:rsid w:val="00785761"/>
    <w:rsid w:val="00785E18"/>
    <w:rsid w:val="00785FF5"/>
    <w:rsid w:val="00786008"/>
    <w:rsid w:val="007865C9"/>
    <w:rsid w:val="007868FE"/>
    <w:rsid w:val="00786D19"/>
    <w:rsid w:val="00786E3B"/>
    <w:rsid w:val="00786FFA"/>
    <w:rsid w:val="00787370"/>
    <w:rsid w:val="007877D0"/>
    <w:rsid w:val="00787803"/>
    <w:rsid w:val="007901A7"/>
    <w:rsid w:val="0079039D"/>
    <w:rsid w:val="00790864"/>
    <w:rsid w:val="00790AA1"/>
    <w:rsid w:val="00790E57"/>
    <w:rsid w:val="0079101E"/>
    <w:rsid w:val="0079142E"/>
    <w:rsid w:val="007919D4"/>
    <w:rsid w:val="007923A8"/>
    <w:rsid w:val="00792583"/>
    <w:rsid w:val="00793161"/>
    <w:rsid w:val="007935A1"/>
    <w:rsid w:val="0079400A"/>
    <w:rsid w:val="007944F4"/>
    <w:rsid w:val="0079463C"/>
    <w:rsid w:val="00794D18"/>
    <w:rsid w:val="00794F28"/>
    <w:rsid w:val="007950CA"/>
    <w:rsid w:val="00795371"/>
    <w:rsid w:val="00795FF6"/>
    <w:rsid w:val="0079679B"/>
    <w:rsid w:val="00796DDC"/>
    <w:rsid w:val="00796E4C"/>
    <w:rsid w:val="007971A8"/>
    <w:rsid w:val="007972D3"/>
    <w:rsid w:val="00797B9D"/>
    <w:rsid w:val="007A0F2F"/>
    <w:rsid w:val="007A1957"/>
    <w:rsid w:val="007A1EBB"/>
    <w:rsid w:val="007A1F31"/>
    <w:rsid w:val="007A2038"/>
    <w:rsid w:val="007A23EE"/>
    <w:rsid w:val="007A246F"/>
    <w:rsid w:val="007A2710"/>
    <w:rsid w:val="007A3044"/>
    <w:rsid w:val="007A30C5"/>
    <w:rsid w:val="007A32A6"/>
    <w:rsid w:val="007A3427"/>
    <w:rsid w:val="007A3D35"/>
    <w:rsid w:val="007A460B"/>
    <w:rsid w:val="007A4AE9"/>
    <w:rsid w:val="007A4EDB"/>
    <w:rsid w:val="007A527C"/>
    <w:rsid w:val="007A53C9"/>
    <w:rsid w:val="007A5CD1"/>
    <w:rsid w:val="007A6162"/>
    <w:rsid w:val="007A62E9"/>
    <w:rsid w:val="007A64EC"/>
    <w:rsid w:val="007A64F8"/>
    <w:rsid w:val="007B01AE"/>
    <w:rsid w:val="007B11F7"/>
    <w:rsid w:val="007B21AF"/>
    <w:rsid w:val="007B242E"/>
    <w:rsid w:val="007B2457"/>
    <w:rsid w:val="007B2B4D"/>
    <w:rsid w:val="007B2D51"/>
    <w:rsid w:val="007B2D55"/>
    <w:rsid w:val="007B3191"/>
    <w:rsid w:val="007B3C02"/>
    <w:rsid w:val="007B3CF2"/>
    <w:rsid w:val="007B5C0F"/>
    <w:rsid w:val="007B5C45"/>
    <w:rsid w:val="007B5CCE"/>
    <w:rsid w:val="007B5D56"/>
    <w:rsid w:val="007B66AF"/>
    <w:rsid w:val="007B68F5"/>
    <w:rsid w:val="007B7202"/>
    <w:rsid w:val="007B760B"/>
    <w:rsid w:val="007B7752"/>
    <w:rsid w:val="007B78B9"/>
    <w:rsid w:val="007C046E"/>
    <w:rsid w:val="007C0600"/>
    <w:rsid w:val="007C088A"/>
    <w:rsid w:val="007C0900"/>
    <w:rsid w:val="007C0D87"/>
    <w:rsid w:val="007C0D8C"/>
    <w:rsid w:val="007C19BD"/>
    <w:rsid w:val="007C1AB5"/>
    <w:rsid w:val="007C1F5D"/>
    <w:rsid w:val="007C2440"/>
    <w:rsid w:val="007C3CD2"/>
    <w:rsid w:val="007C4639"/>
    <w:rsid w:val="007C5003"/>
    <w:rsid w:val="007C5846"/>
    <w:rsid w:val="007C5D7B"/>
    <w:rsid w:val="007C5EE9"/>
    <w:rsid w:val="007C5F4D"/>
    <w:rsid w:val="007C644D"/>
    <w:rsid w:val="007C6D70"/>
    <w:rsid w:val="007D02AC"/>
    <w:rsid w:val="007D099F"/>
    <w:rsid w:val="007D0ABC"/>
    <w:rsid w:val="007D12ED"/>
    <w:rsid w:val="007D16AD"/>
    <w:rsid w:val="007D1A5C"/>
    <w:rsid w:val="007D1F0F"/>
    <w:rsid w:val="007D218A"/>
    <w:rsid w:val="007D2197"/>
    <w:rsid w:val="007D264A"/>
    <w:rsid w:val="007D2E44"/>
    <w:rsid w:val="007D3461"/>
    <w:rsid w:val="007D350A"/>
    <w:rsid w:val="007D357B"/>
    <w:rsid w:val="007D35E5"/>
    <w:rsid w:val="007D371B"/>
    <w:rsid w:val="007D37D2"/>
    <w:rsid w:val="007D439F"/>
    <w:rsid w:val="007D4522"/>
    <w:rsid w:val="007D45E1"/>
    <w:rsid w:val="007D58D5"/>
    <w:rsid w:val="007D5D1D"/>
    <w:rsid w:val="007D5FF7"/>
    <w:rsid w:val="007D6327"/>
    <w:rsid w:val="007D6339"/>
    <w:rsid w:val="007D6881"/>
    <w:rsid w:val="007D6900"/>
    <w:rsid w:val="007D6B96"/>
    <w:rsid w:val="007D6D28"/>
    <w:rsid w:val="007D6D70"/>
    <w:rsid w:val="007D70A6"/>
    <w:rsid w:val="007D756D"/>
    <w:rsid w:val="007E0AF7"/>
    <w:rsid w:val="007E108D"/>
    <w:rsid w:val="007E183F"/>
    <w:rsid w:val="007E1C03"/>
    <w:rsid w:val="007E1C3E"/>
    <w:rsid w:val="007E21CB"/>
    <w:rsid w:val="007E23BF"/>
    <w:rsid w:val="007E2547"/>
    <w:rsid w:val="007E2D49"/>
    <w:rsid w:val="007E3756"/>
    <w:rsid w:val="007E3A0E"/>
    <w:rsid w:val="007E3FE3"/>
    <w:rsid w:val="007E4229"/>
    <w:rsid w:val="007E4340"/>
    <w:rsid w:val="007E4511"/>
    <w:rsid w:val="007E4BB4"/>
    <w:rsid w:val="007E4EE7"/>
    <w:rsid w:val="007E50D5"/>
    <w:rsid w:val="007E540D"/>
    <w:rsid w:val="007E5E63"/>
    <w:rsid w:val="007E62E1"/>
    <w:rsid w:val="007E65DB"/>
    <w:rsid w:val="007E6A9A"/>
    <w:rsid w:val="007E70A0"/>
    <w:rsid w:val="007E7420"/>
    <w:rsid w:val="007E74C3"/>
    <w:rsid w:val="007E7E10"/>
    <w:rsid w:val="007F050B"/>
    <w:rsid w:val="007F1405"/>
    <w:rsid w:val="007F183C"/>
    <w:rsid w:val="007F1AB8"/>
    <w:rsid w:val="007F240E"/>
    <w:rsid w:val="007F2683"/>
    <w:rsid w:val="007F2766"/>
    <w:rsid w:val="007F3104"/>
    <w:rsid w:val="007F3655"/>
    <w:rsid w:val="007F38F6"/>
    <w:rsid w:val="007F3EBC"/>
    <w:rsid w:val="007F4329"/>
    <w:rsid w:val="007F4395"/>
    <w:rsid w:val="007F5150"/>
    <w:rsid w:val="007F55BF"/>
    <w:rsid w:val="007F5BC1"/>
    <w:rsid w:val="007F6202"/>
    <w:rsid w:val="007F6792"/>
    <w:rsid w:val="007F75CE"/>
    <w:rsid w:val="008003BA"/>
    <w:rsid w:val="00800800"/>
    <w:rsid w:val="00800892"/>
    <w:rsid w:val="008013BC"/>
    <w:rsid w:val="00801DC3"/>
    <w:rsid w:val="0080204F"/>
    <w:rsid w:val="00802283"/>
    <w:rsid w:val="008023FD"/>
    <w:rsid w:val="0080282A"/>
    <w:rsid w:val="00802D8D"/>
    <w:rsid w:val="008030EB"/>
    <w:rsid w:val="00803F81"/>
    <w:rsid w:val="00804B4F"/>
    <w:rsid w:val="00804C4F"/>
    <w:rsid w:val="00805DDC"/>
    <w:rsid w:val="00805DF9"/>
    <w:rsid w:val="0080652C"/>
    <w:rsid w:val="00806F02"/>
    <w:rsid w:val="00807207"/>
    <w:rsid w:val="0080799D"/>
    <w:rsid w:val="00807FB9"/>
    <w:rsid w:val="00810571"/>
    <w:rsid w:val="0081083D"/>
    <w:rsid w:val="008109A2"/>
    <w:rsid w:val="00810EA8"/>
    <w:rsid w:val="0081148E"/>
    <w:rsid w:val="00811555"/>
    <w:rsid w:val="00811ABE"/>
    <w:rsid w:val="00811C3A"/>
    <w:rsid w:val="00811E0C"/>
    <w:rsid w:val="00812324"/>
    <w:rsid w:val="00812D37"/>
    <w:rsid w:val="00812EE3"/>
    <w:rsid w:val="00812FE7"/>
    <w:rsid w:val="008130EE"/>
    <w:rsid w:val="00813177"/>
    <w:rsid w:val="00813564"/>
    <w:rsid w:val="008139BF"/>
    <w:rsid w:val="00813AF9"/>
    <w:rsid w:val="00813DFA"/>
    <w:rsid w:val="0081453A"/>
    <w:rsid w:val="00815014"/>
    <w:rsid w:val="0081547C"/>
    <w:rsid w:val="0081553D"/>
    <w:rsid w:val="00815CCD"/>
    <w:rsid w:val="008163A7"/>
    <w:rsid w:val="00816498"/>
    <w:rsid w:val="00816624"/>
    <w:rsid w:val="0081665F"/>
    <w:rsid w:val="00816ED6"/>
    <w:rsid w:val="00816F9E"/>
    <w:rsid w:val="008170D3"/>
    <w:rsid w:val="0081763F"/>
    <w:rsid w:val="008178D0"/>
    <w:rsid w:val="008179D7"/>
    <w:rsid w:val="00817B39"/>
    <w:rsid w:val="00817D97"/>
    <w:rsid w:val="00817DA9"/>
    <w:rsid w:val="00817F59"/>
    <w:rsid w:val="00820623"/>
    <w:rsid w:val="00820DBE"/>
    <w:rsid w:val="00821DD3"/>
    <w:rsid w:val="00822067"/>
    <w:rsid w:val="0082259F"/>
    <w:rsid w:val="0082311A"/>
    <w:rsid w:val="00823142"/>
    <w:rsid w:val="00823E9F"/>
    <w:rsid w:val="008240B2"/>
    <w:rsid w:val="0082415F"/>
    <w:rsid w:val="00824739"/>
    <w:rsid w:val="008249B2"/>
    <w:rsid w:val="00824DB3"/>
    <w:rsid w:val="00824E48"/>
    <w:rsid w:val="00824FB5"/>
    <w:rsid w:val="0082503E"/>
    <w:rsid w:val="00825475"/>
    <w:rsid w:val="00825A6E"/>
    <w:rsid w:val="00825A9E"/>
    <w:rsid w:val="0082613A"/>
    <w:rsid w:val="00826924"/>
    <w:rsid w:val="00826FCA"/>
    <w:rsid w:val="008275F8"/>
    <w:rsid w:val="00830185"/>
    <w:rsid w:val="008311C8"/>
    <w:rsid w:val="008313CA"/>
    <w:rsid w:val="00831D7E"/>
    <w:rsid w:val="0083212C"/>
    <w:rsid w:val="00832AAD"/>
    <w:rsid w:val="00832E8F"/>
    <w:rsid w:val="00833304"/>
    <w:rsid w:val="008348A6"/>
    <w:rsid w:val="00834C9B"/>
    <w:rsid w:val="00835304"/>
    <w:rsid w:val="008357F0"/>
    <w:rsid w:val="00835903"/>
    <w:rsid w:val="00835962"/>
    <w:rsid w:val="00835F39"/>
    <w:rsid w:val="00836E27"/>
    <w:rsid w:val="008370AF"/>
    <w:rsid w:val="00837127"/>
    <w:rsid w:val="0083753C"/>
    <w:rsid w:val="00837679"/>
    <w:rsid w:val="00837C1B"/>
    <w:rsid w:val="00840099"/>
    <w:rsid w:val="008402C7"/>
    <w:rsid w:val="008403BC"/>
    <w:rsid w:val="008405A6"/>
    <w:rsid w:val="008405BD"/>
    <w:rsid w:val="00840729"/>
    <w:rsid w:val="00840B68"/>
    <w:rsid w:val="00841824"/>
    <w:rsid w:val="00841DF7"/>
    <w:rsid w:val="00842232"/>
    <w:rsid w:val="00842AD2"/>
    <w:rsid w:val="008430AF"/>
    <w:rsid w:val="008431F3"/>
    <w:rsid w:val="00843F16"/>
    <w:rsid w:val="00844369"/>
    <w:rsid w:val="008443FA"/>
    <w:rsid w:val="008444BA"/>
    <w:rsid w:val="008448FE"/>
    <w:rsid w:val="00844DA9"/>
    <w:rsid w:val="00844E4C"/>
    <w:rsid w:val="00846544"/>
    <w:rsid w:val="00846B79"/>
    <w:rsid w:val="00846E3A"/>
    <w:rsid w:val="0084715A"/>
    <w:rsid w:val="00847379"/>
    <w:rsid w:val="008476DC"/>
    <w:rsid w:val="0084774D"/>
    <w:rsid w:val="00847BBB"/>
    <w:rsid w:val="00850D5C"/>
    <w:rsid w:val="00850DA0"/>
    <w:rsid w:val="00850ED2"/>
    <w:rsid w:val="00851317"/>
    <w:rsid w:val="008513B3"/>
    <w:rsid w:val="00853460"/>
    <w:rsid w:val="008534B7"/>
    <w:rsid w:val="00853B5E"/>
    <w:rsid w:val="00853DC7"/>
    <w:rsid w:val="00853E71"/>
    <w:rsid w:val="008540F3"/>
    <w:rsid w:val="00854263"/>
    <w:rsid w:val="00854341"/>
    <w:rsid w:val="00854FF8"/>
    <w:rsid w:val="0085524E"/>
    <w:rsid w:val="008553C2"/>
    <w:rsid w:val="00855622"/>
    <w:rsid w:val="00855DE9"/>
    <w:rsid w:val="00856891"/>
    <w:rsid w:val="00856BED"/>
    <w:rsid w:val="00856CAF"/>
    <w:rsid w:val="00857290"/>
    <w:rsid w:val="008578BA"/>
    <w:rsid w:val="00857A25"/>
    <w:rsid w:val="008603CD"/>
    <w:rsid w:val="00860F47"/>
    <w:rsid w:val="00861287"/>
    <w:rsid w:val="0086149A"/>
    <w:rsid w:val="00861F35"/>
    <w:rsid w:val="00861FEB"/>
    <w:rsid w:val="008624F3"/>
    <w:rsid w:val="0086271F"/>
    <w:rsid w:val="0086288B"/>
    <w:rsid w:val="0086405B"/>
    <w:rsid w:val="00864234"/>
    <w:rsid w:val="00864EAA"/>
    <w:rsid w:val="0086525C"/>
    <w:rsid w:val="008652F8"/>
    <w:rsid w:val="0086535F"/>
    <w:rsid w:val="00865CB7"/>
    <w:rsid w:val="008662FF"/>
    <w:rsid w:val="00866319"/>
    <w:rsid w:val="008663AC"/>
    <w:rsid w:val="00866465"/>
    <w:rsid w:val="00866F27"/>
    <w:rsid w:val="00870EFF"/>
    <w:rsid w:val="008710E9"/>
    <w:rsid w:val="00871214"/>
    <w:rsid w:val="008718B7"/>
    <w:rsid w:val="00871EE1"/>
    <w:rsid w:val="00872371"/>
    <w:rsid w:val="00872CD0"/>
    <w:rsid w:val="00872E4A"/>
    <w:rsid w:val="00872E7A"/>
    <w:rsid w:val="0087329F"/>
    <w:rsid w:val="00873601"/>
    <w:rsid w:val="00873D77"/>
    <w:rsid w:val="00873EC7"/>
    <w:rsid w:val="00874266"/>
    <w:rsid w:val="008742FB"/>
    <w:rsid w:val="00874D1F"/>
    <w:rsid w:val="00875AFA"/>
    <w:rsid w:val="00875C48"/>
    <w:rsid w:val="008764E6"/>
    <w:rsid w:val="008766D6"/>
    <w:rsid w:val="008767BD"/>
    <w:rsid w:val="00877330"/>
    <w:rsid w:val="008774C4"/>
    <w:rsid w:val="00877A77"/>
    <w:rsid w:val="00877DA5"/>
    <w:rsid w:val="008801FF"/>
    <w:rsid w:val="008802BA"/>
    <w:rsid w:val="00880851"/>
    <w:rsid w:val="00880A92"/>
    <w:rsid w:val="00881571"/>
    <w:rsid w:val="00881986"/>
    <w:rsid w:val="00881C3C"/>
    <w:rsid w:val="00881F78"/>
    <w:rsid w:val="00882811"/>
    <w:rsid w:val="0088289E"/>
    <w:rsid w:val="008829E1"/>
    <w:rsid w:val="008829E6"/>
    <w:rsid w:val="008829ED"/>
    <w:rsid w:val="00883195"/>
    <w:rsid w:val="00883FA2"/>
    <w:rsid w:val="008846B5"/>
    <w:rsid w:val="00884934"/>
    <w:rsid w:val="00884D2E"/>
    <w:rsid w:val="00885050"/>
    <w:rsid w:val="00885DF4"/>
    <w:rsid w:val="008868F7"/>
    <w:rsid w:val="00886DCB"/>
    <w:rsid w:val="00887280"/>
    <w:rsid w:val="008878F5"/>
    <w:rsid w:val="008879F2"/>
    <w:rsid w:val="00890BA2"/>
    <w:rsid w:val="00890D16"/>
    <w:rsid w:val="00891CB9"/>
    <w:rsid w:val="00891CE2"/>
    <w:rsid w:val="008922CC"/>
    <w:rsid w:val="008934CE"/>
    <w:rsid w:val="00894243"/>
    <w:rsid w:val="008948BA"/>
    <w:rsid w:val="00894E2C"/>
    <w:rsid w:val="00895479"/>
    <w:rsid w:val="00895F25"/>
    <w:rsid w:val="00896AA6"/>
    <w:rsid w:val="00896B09"/>
    <w:rsid w:val="00897336"/>
    <w:rsid w:val="00897BC9"/>
    <w:rsid w:val="008A01DB"/>
    <w:rsid w:val="008A05C2"/>
    <w:rsid w:val="008A0C52"/>
    <w:rsid w:val="008A122D"/>
    <w:rsid w:val="008A14AC"/>
    <w:rsid w:val="008A18BF"/>
    <w:rsid w:val="008A1BE4"/>
    <w:rsid w:val="008A21F4"/>
    <w:rsid w:val="008A2203"/>
    <w:rsid w:val="008A2EEA"/>
    <w:rsid w:val="008A3BC6"/>
    <w:rsid w:val="008A3CDE"/>
    <w:rsid w:val="008A3E0B"/>
    <w:rsid w:val="008A451B"/>
    <w:rsid w:val="008A4E36"/>
    <w:rsid w:val="008A4FB7"/>
    <w:rsid w:val="008A5463"/>
    <w:rsid w:val="008A5E4E"/>
    <w:rsid w:val="008A69A8"/>
    <w:rsid w:val="008A71B9"/>
    <w:rsid w:val="008A71DF"/>
    <w:rsid w:val="008A78CF"/>
    <w:rsid w:val="008A7BC9"/>
    <w:rsid w:val="008B1371"/>
    <w:rsid w:val="008B2AD9"/>
    <w:rsid w:val="008B3389"/>
    <w:rsid w:val="008B38EC"/>
    <w:rsid w:val="008B3C13"/>
    <w:rsid w:val="008B4EBF"/>
    <w:rsid w:val="008B4F68"/>
    <w:rsid w:val="008B5063"/>
    <w:rsid w:val="008B638A"/>
    <w:rsid w:val="008B64B2"/>
    <w:rsid w:val="008B6E92"/>
    <w:rsid w:val="008B6F69"/>
    <w:rsid w:val="008B7101"/>
    <w:rsid w:val="008B76AD"/>
    <w:rsid w:val="008B7A8A"/>
    <w:rsid w:val="008B7EDE"/>
    <w:rsid w:val="008C0412"/>
    <w:rsid w:val="008C0849"/>
    <w:rsid w:val="008C0D5A"/>
    <w:rsid w:val="008C189F"/>
    <w:rsid w:val="008C1A8A"/>
    <w:rsid w:val="008C24D4"/>
    <w:rsid w:val="008C276E"/>
    <w:rsid w:val="008C288B"/>
    <w:rsid w:val="008C2DD2"/>
    <w:rsid w:val="008C3262"/>
    <w:rsid w:val="008C32C1"/>
    <w:rsid w:val="008C3F69"/>
    <w:rsid w:val="008C4BB7"/>
    <w:rsid w:val="008C5CFF"/>
    <w:rsid w:val="008C603C"/>
    <w:rsid w:val="008C68B1"/>
    <w:rsid w:val="008C6EBF"/>
    <w:rsid w:val="008C79BB"/>
    <w:rsid w:val="008D0D08"/>
    <w:rsid w:val="008D103C"/>
    <w:rsid w:val="008D168C"/>
    <w:rsid w:val="008D18B4"/>
    <w:rsid w:val="008D1FDB"/>
    <w:rsid w:val="008D244C"/>
    <w:rsid w:val="008D29FC"/>
    <w:rsid w:val="008D4715"/>
    <w:rsid w:val="008D53B9"/>
    <w:rsid w:val="008D54DA"/>
    <w:rsid w:val="008D578C"/>
    <w:rsid w:val="008D615E"/>
    <w:rsid w:val="008D616B"/>
    <w:rsid w:val="008D6E0D"/>
    <w:rsid w:val="008D71CD"/>
    <w:rsid w:val="008E040B"/>
    <w:rsid w:val="008E13EA"/>
    <w:rsid w:val="008E311B"/>
    <w:rsid w:val="008E3347"/>
    <w:rsid w:val="008E35DB"/>
    <w:rsid w:val="008E3B91"/>
    <w:rsid w:val="008E4DA5"/>
    <w:rsid w:val="008E559B"/>
    <w:rsid w:val="008E589A"/>
    <w:rsid w:val="008E5C8C"/>
    <w:rsid w:val="008E6011"/>
    <w:rsid w:val="008E62B3"/>
    <w:rsid w:val="008E6E25"/>
    <w:rsid w:val="008E717B"/>
    <w:rsid w:val="008E7EA8"/>
    <w:rsid w:val="008E7EDC"/>
    <w:rsid w:val="008F0259"/>
    <w:rsid w:val="008F04FA"/>
    <w:rsid w:val="008F0D6A"/>
    <w:rsid w:val="008F0D9F"/>
    <w:rsid w:val="008F1257"/>
    <w:rsid w:val="008F1C09"/>
    <w:rsid w:val="008F211D"/>
    <w:rsid w:val="008F2267"/>
    <w:rsid w:val="008F2340"/>
    <w:rsid w:val="008F2832"/>
    <w:rsid w:val="008F2B6B"/>
    <w:rsid w:val="008F3051"/>
    <w:rsid w:val="008F35CF"/>
    <w:rsid w:val="008F3886"/>
    <w:rsid w:val="008F3B6A"/>
    <w:rsid w:val="008F3D3B"/>
    <w:rsid w:val="008F4C6E"/>
    <w:rsid w:val="008F4D57"/>
    <w:rsid w:val="008F5038"/>
    <w:rsid w:val="008F51E2"/>
    <w:rsid w:val="008F5238"/>
    <w:rsid w:val="008F5631"/>
    <w:rsid w:val="008F568C"/>
    <w:rsid w:val="008F569B"/>
    <w:rsid w:val="008F595E"/>
    <w:rsid w:val="008F59A9"/>
    <w:rsid w:val="008F601C"/>
    <w:rsid w:val="008F696C"/>
    <w:rsid w:val="008F6CC3"/>
    <w:rsid w:val="008F70BA"/>
    <w:rsid w:val="008F782A"/>
    <w:rsid w:val="008F7E9E"/>
    <w:rsid w:val="008F7FCC"/>
    <w:rsid w:val="009003EF"/>
    <w:rsid w:val="00900432"/>
    <w:rsid w:val="0090055D"/>
    <w:rsid w:val="00901234"/>
    <w:rsid w:val="00901CEA"/>
    <w:rsid w:val="009047FA"/>
    <w:rsid w:val="009057D0"/>
    <w:rsid w:val="0090612F"/>
    <w:rsid w:val="0090614B"/>
    <w:rsid w:val="00906195"/>
    <w:rsid w:val="009062E4"/>
    <w:rsid w:val="009066B5"/>
    <w:rsid w:val="00907937"/>
    <w:rsid w:val="00907C6B"/>
    <w:rsid w:val="009108EB"/>
    <w:rsid w:val="00910CDA"/>
    <w:rsid w:val="009116D7"/>
    <w:rsid w:val="00911726"/>
    <w:rsid w:val="0091182B"/>
    <w:rsid w:val="009124FD"/>
    <w:rsid w:val="00912A9F"/>
    <w:rsid w:val="00912E55"/>
    <w:rsid w:val="009137A9"/>
    <w:rsid w:val="009138DC"/>
    <w:rsid w:val="00913963"/>
    <w:rsid w:val="00914609"/>
    <w:rsid w:val="00914D30"/>
    <w:rsid w:val="00915644"/>
    <w:rsid w:val="0091564D"/>
    <w:rsid w:val="00915AA0"/>
    <w:rsid w:val="009163C6"/>
    <w:rsid w:val="00916874"/>
    <w:rsid w:val="00916933"/>
    <w:rsid w:val="00916F05"/>
    <w:rsid w:val="00917925"/>
    <w:rsid w:val="0091793D"/>
    <w:rsid w:val="00917EA8"/>
    <w:rsid w:val="0092015D"/>
    <w:rsid w:val="009201DC"/>
    <w:rsid w:val="0092064D"/>
    <w:rsid w:val="00920C89"/>
    <w:rsid w:val="0092312B"/>
    <w:rsid w:val="00923563"/>
    <w:rsid w:val="0092475E"/>
    <w:rsid w:val="009247B0"/>
    <w:rsid w:val="00925C33"/>
    <w:rsid w:val="009261BA"/>
    <w:rsid w:val="0092673A"/>
    <w:rsid w:val="00926B5A"/>
    <w:rsid w:val="00926D59"/>
    <w:rsid w:val="00926DCE"/>
    <w:rsid w:val="009303D7"/>
    <w:rsid w:val="009308CF"/>
    <w:rsid w:val="009313AE"/>
    <w:rsid w:val="009319EA"/>
    <w:rsid w:val="0093340C"/>
    <w:rsid w:val="00933470"/>
    <w:rsid w:val="0093384B"/>
    <w:rsid w:val="00933D0C"/>
    <w:rsid w:val="00933ECB"/>
    <w:rsid w:val="0093425F"/>
    <w:rsid w:val="0093439F"/>
    <w:rsid w:val="0093510F"/>
    <w:rsid w:val="0093572D"/>
    <w:rsid w:val="00935C5D"/>
    <w:rsid w:val="00935D23"/>
    <w:rsid w:val="00936F37"/>
    <w:rsid w:val="00937033"/>
    <w:rsid w:val="0093728E"/>
    <w:rsid w:val="0093787D"/>
    <w:rsid w:val="00937B0A"/>
    <w:rsid w:val="00937ED0"/>
    <w:rsid w:val="0094013C"/>
    <w:rsid w:val="0094025C"/>
    <w:rsid w:val="009411A0"/>
    <w:rsid w:val="00941AA1"/>
    <w:rsid w:val="009420B5"/>
    <w:rsid w:val="00942A51"/>
    <w:rsid w:val="00942CE6"/>
    <w:rsid w:val="00943113"/>
    <w:rsid w:val="00943940"/>
    <w:rsid w:val="00944AD0"/>
    <w:rsid w:val="009459C2"/>
    <w:rsid w:val="009468B3"/>
    <w:rsid w:val="00946DB8"/>
    <w:rsid w:val="00947AD5"/>
    <w:rsid w:val="00947FE0"/>
    <w:rsid w:val="00950D42"/>
    <w:rsid w:val="009513DA"/>
    <w:rsid w:val="009514DB"/>
    <w:rsid w:val="009517A7"/>
    <w:rsid w:val="0095180A"/>
    <w:rsid w:val="009524AB"/>
    <w:rsid w:val="00953910"/>
    <w:rsid w:val="00953BEE"/>
    <w:rsid w:val="00953CA6"/>
    <w:rsid w:val="00953F81"/>
    <w:rsid w:val="009540BE"/>
    <w:rsid w:val="00954296"/>
    <w:rsid w:val="009542C8"/>
    <w:rsid w:val="00954603"/>
    <w:rsid w:val="00954BA1"/>
    <w:rsid w:val="00955A73"/>
    <w:rsid w:val="00956534"/>
    <w:rsid w:val="009565F4"/>
    <w:rsid w:val="00956BDB"/>
    <w:rsid w:val="00956E0E"/>
    <w:rsid w:val="009570D9"/>
    <w:rsid w:val="009571C7"/>
    <w:rsid w:val="00960671"/>
    <w:rsid w:val="00960727"/>
    <w:rsid w:val="00960747"/>
    <w:rsid w:val="00960944"/>
    <w:rsid w:val="00960AA7"/>
    <w:rsid w:val="00960CB4"/>
    <w:rsid w:val="0096231D"/>
    <w:rsid w:val="00962883"/>
    <w:rsid w:val="009633BE"/>
    <w:rsid w:val="009633C6"/>
    <w:rsid w:val="009636B5"/>
    <w:rsid w:val="009639A0"/>
    <w:rsid w:val="00963A57"/>
    <w:rsid w:val="00963CFC"/>
    <w:rsid w:val="00965C37"/>
    <w:rsid w:val="0096673E"/>
    <w:rsid w:val="00966885"/>
    <w:rsid w:val="00966916"/>
    <w:rsid w:val="00966C73"/>
    <w:rsid w:val="00966C87"/>
    <w:rsid w:val="00966FF4"/>
    <w:rsid w:val="009671BE"/>
    <w:rsid w:val="009672A0"/>
    <w:rsid w:val="00967318"/>
    <w:rsid w:val="009676F8"/>
    <w:rsid w:val="00967B75"/>
    <w:rsid w:val="00970618"/>
    <w:rsid w:val="00970B70"/>
    <w:rsid w:val="0097123A"/>
    <w:rsid w:val="00972209"/>
    <w:rsid w:val="0097296A"/>
    <w:rsid w:val="00972A5A"/>
    <w:rsid w:val="00973132"/>
    <w:rsid w:val="0097374A"/>
    <w:rsid w:val="00974027"/>
    <w:rsid w:val="00974516"/>
    <w:rsid w:val="00974B53"/>
    <w:rsid w:val="00974DE1"/>
    <w:rsid w:val="00975110"/>
    <w:rsid w:val="009751EC"/>
    <w:rsid w:val="00976503"/>
    <w:rsid w:val="00976E73"/>
    <w:rsid w:val="00977391"/>
    <w:rsid w:val="00977436"/>
    <w:rsid w:val="00977DBD"/>
    <w:rsid w:val="00980270"/>
    <w:rsid w:val="009809DC"/>
    <w:rsid w:val="00980DA3"/>
    <w:rsid w:val="00981017"/>
    <w:rsid w:val="009833DA"/>
    <w:rsid w:val="009837AA"/>
    <w:rsid w:val="00983ABE"/>
    <w:rsid w:val="00983D30"/>
    <w:rsid w:val="00983FF7"/>
    <w:rsid w:val="0098484E"/>
    <w:rsid w:val="00984AD3"/>
    <w:rsid w:val="00984C4F"/>
    <w:rsid w:val="0098505B"/>
    <w:rsid w:val="00985C2B"/>
    <w:rsid w:val="009861AE"/>
    <w:rsid w:val="00986347"/>
    <w:rsid w:val="009872AA"/>
    <w:rsid w:val="0099041F"/>
    <w:rsid w:val="00990509"/>
    <w:rsid w:val="0099098C"/>
    <w:rsid w:val="009911DC"/>
    <w:rsid w:val="00991485"/>
    <w:rsid w:val="009917E5"/>
    <w:rsid w:val="00992C81"/>
    <w:rsid w:val="0099301C"/>
    <w:rsid w:val="00993AFA"/>
    <w:rsid w:val="00993EC1"/>
    <w:rsid w:val="0099402F"/>
    <w:rsid w:val="0099476C"/>
    <w:rsid w:val="00994FF3"/>
    <w:rsid w:val="00995E36"/>
    <w:rsid w:val="009960EA"/>
    <w:rsid w:val="00996659"/>
    <w:rsid w:val="00996EF1"/>
    <w:rsid w:val="009972D9"/>
    <w:rsid w:val="009974BC"/>
    <w:rsid w:val="00997978"/>
    <w:rsid w:val="009A01AF"/>
    <w:rsid w:val="009A03EC"/>
    <w:rsid w:val="009A097F"/>
    <w:rsid w:val="009A0A2B"/>
    <w:rsid w:val="009A0BF6"/>
    <w:rsid w:val="009A1467"/>
    <w:rsid w:val="009A1751"/>
    <w:rsid w:val="009A1EEC"/>
    <w:rsid w:val="009A2ADA"/>
    <w:rsid w:val="009A2DCB"/>
    <w:rsid w:val="009A2F93"/>
    <w:rsid w:val="009A30A0"/>
    <w:rsid w:val="009A3993"/>
    <w:rsid w:val="009A4921"/>
    <w:rsid w:val="009A4BB3"/>
    <w:rsid w:val="009A4CDA"/>
    <w:rsid w:val="009A4F96"/>
    <w:rsid w:val="009A4FD6"/>
    <w:rsid w:val="009A5B5B"/>
    <w:rsid w:val="009A5C81"/>
    <w:rsid w:val="009A6169"/>
    <w:rsid w:val="009A6549"/>
    <w:rsid w:val="009A79E3"/>
    <w:rsid w:val="009A7AC2"/>
    <w:rsid w:val="009A7FF5"/>
    <w:rsid w:val="009B030C"/>
    <w:rsid w:val="009B06EB"/>
    <w:rsid w:val="009B071B"/>
    <w:rsid w:val="009B0777"/>
    <w:rsid w:val="009B0C53"/>
    <w:rsid w:val="009B0D32"/>
    <w:rsid w:val="009B0F72"/>
    <w:rsid w:val="009B12DD"/>
    <w:rsid w:val="009B1487"/>
    <w:rsid w:val="009B149E"/>
    <w:rsid w:val="009B1822"/>
    <w:rsid w:val="009B1EB9"/>
    <w:rsid w:val="009B20A3"/>
    <w:rsid w:val="009B20F0"/>
    <w:rsid w:val="009B269E"/>
    <w:rsid w:val="009B276B"/>
    <w:rsid w:val="009B29D5"/>
    <w:rsid w:val="009B3B25"/>
    <w:rsid w:val="009B45E1"/>
    <w:rsid w:val="009B49EB"/>
    <w:rsid w:val="009B5441"/>
    <w:rsid w:val="009B6567"/>
    <w:rsid w:val="009B690B"/>
    <w:rsid w:val="009B71FA"/>
    <w:rsid w:val="009B75B3"/>
    <w:rsid w:val="009C1286"/>
    <w:rsid w:val="009C196B"/>
    <w:rsid w:val="009C20A7"/>
    <w:rsid w:val="009C261F"/>
    <w:rsid w:val="009C29A2"/>
    <w:rsid w:val="009C337E"/>
    <w:rsid w:val="009C39C4"/>
    <w:rsid w:val="009C404E"/>
    <w:rsid w:val="009C47BC"/>
    <w:rsid w:val="009C4FCA"/>
    <w:rsid w:val="009C51B9"/>
    <w:rsid w:val="009C5F74"/>
    <w:rsid w:val="009C687B"/>
    <w:rsid w:val="009C6949"/>
    <w:rsid w:val="009C6DF7"/>
    <w:rsid w:val="009D03C7"/>
    <w:rsid w:val="009D1585"/>
    <w:rsid w:val="009D1F93"/>
    <w:rsid w:val="009D20E6"/>
    <w:rsid w:val="009D252B"/>
    <w:rsid w:val="009D2B4B"/>
    <w:rsid w:val="009D2D79"/>
    <w:rsid w:val="009D3168"/>
    <w:rsid w:val="009D37D9"/>
    <w:rsid w:val="009D3BDA"/>
    <w:rsid w:val="009D431B"/>
    <w:rsid w:val="009D4F70"/>
    <w:rsid w:val="009D5386"/>
    <w:rsid w:val="009D6398"/>
    <w:rsid w:val="009D71B1"/>
    <w:rsid w:val="009E03AE"/>
    <w:rsid w:val="009E058F"/>
    <w:rsid w:val="009E1C9E"/>
    <w:rsid w:val="009E1E54"/>
    <w:rsid w:val="009E261E"/>
    <w:rsid w:val="009E327C"/>
    <w:rsid w:val="009E32FA"/>
    <w:rsid w:val="009E35FE"/>
    <w:rsid w:val="009E3C89"/>
    <w:rsid w:val="009E41A0"/>
    <w:rsid w:val="009E44BD"/>
    <w:rsid w:val="009E471B"/>
    <w:rsid w:val="009E4DAF"/>
    <w:rsid w:val="009E5647"/>
    <w:rsid w:val="009E5B3D"/>
    <w:rsid w:val="009E6005"/>
    <w:rsid w:val="009E6506"/>
    <w:rsid w:val="009E6E10"/>
    <w:rsid w:val="009E74EC"/>
    <w:rsid w:val="009F051E"/>
    <w:rsid w:val="009F0521"/>
    <w:rsid w:val="009F0635"/>
    <w:rsid w:val="009F0A0D"/>
    <w:rsid w:val="009F1B09"/>
    <w:rsid w:val="009F1C42"/>
    <w:rsid w:val="009F204A"/>
    <w:rsid w:val="009F2C6E"/>
    <w:rsid w:val="009F3408"/>
    <w:rsid w:val="009F3499"/>
    <w:rsid w:val="009F3C6A"/>
    <w:rsid w:val="009F3CE5"/>
    <w:rsid w:val="009F428C"/>
    <w:rsid w:val="009F451E"/>
    <w:rsid w:val="009F55A4"/>
    <w:rsid w:val="009F5944"/>
    <w:rsid w:val="009F65F9"/>
    <w:rsid w:val="009F7350"/>
    <w:rsid w:val="009F77FD"/>
    <w:rsid w:val="009F7EAE"/>
    <w:rsid w:val="009F7EF1"/>
    <w:rsid w:val="00A00504"/>
    <w:rsid w:val="00A00539"/>
    <w:rsid w:val="00A005EC"/>
    <w:rsid w:val="00A01142"/>
    <w:rsid w:val="00A01A8A"/>
    <w:rsid w:val="00A01DF5"/>
    <w:rsid w:val="00A02BA5"/>
    <w:rsid w:val="00A03AB8"/>
    <w:rsid w:val="00A04130"/>
    <w:rsid w:val="00A047CD"/>
    <w:rsid w:val="00A04882"/>
    <w:rsid w:val="00A05457"/>
    <w:rsid w:val="00A0584A"/>
    <w:rsid w:val="00A068DA"/>
    <w:rsid w:val="00A06CCB"/>
    <w:rsid w:val="00A0703D"/>
    <w:rsid w:val="00A074A1"/>
    <w:rsid w:val="00A07892"/>
    <w:rsid w:val="00A07B52"/>
    <w:rsid w:val="00A101D5"/>
    <w:rsid w:val="00A1027D"/>
    <w:rsid w:val="00A10B78"/>
    <w:rsid w:val="00A11F27"/>
    <w:rsid w:val="00A12D52"/>
    <w:rsid w:val="00A13886"/>
    <w:rsid w:val="00A14683"/>
    <w:rsid w:val="00A14AD3"/>
    <w:rsid w:val="00A153EA"/>
    <w:rsid w:val="00A15426"/>
    <w:rsid w:val="00A16B3F"/>
    <w:rsid w:val="00A16F1A"/>
    <w:rsid w:val="00A17AA5"/>
    <w:rsid w:val="00A20C79"/>
    <w:rsid w:val="00A20D82"/>
    <w:rsid w:val="00A2160E"/>
    <w:rsid w:val="00A2275B"/>
    <w:rsid w:val="00A22B96"/>
    <w:rsid w:val="00A23625"/>
    <w:rsid w:val="00A23BCA"/>
    <w:rsid w:val="00A2419C"/>
    <w:rsid w:val="00A24214"/>
    <w:rsid w:val="00A248DC"/>
    <w:rsid w:val="00A24BF0"/>
    <w:rsid w:val="00A24D68"/>
    <w:rsid w:val="00A25535"/>
    <w:rsid w:val="00A2570B"/>
    <w:rsid w:val="00A25840"/>
    <w:rsid w:val="00A258C2"/>
    <w:rsid w:val="00A26148"/>
    <w:rsid w:val="00A263F9"/>
    <w:rsid w:val="00A267E3"/>
    <w:rsid w:val="00A2706F"/>
    <w:rsid w:val="00A27877"/>
    <w:rsid w:val="00A305D4"/>
    <w:rsid w:val="00A30CEA"/>
    <w:rsid w:val="00A30EE3"/>
    <w:rsid w:val="00A31F7D"/>
    <w:rsid w:val="00A32063"/>
    <w:rsid w:val="00A32317"/>
    <w:rsid w:val="00A32BD5"/>
    <w:rsid w:val="00A33049"/>
    <w:rsid w:val="00A33A9E"/>
    <w:rsid w:val="00A33D11"/>
    <w:rsid w:val="00A33EC1"/>
    <w:rsid w:val="00A34067"/>
    <w:rsid w:val="00A34FA7"/>
    <w:rsid w:val="00A35242"/>
    <w:rsid w:val="00A358C0"/>
    <w:rsid w:val="00A35AD7"/>
    <w:rsid w:val="00A35C9C"/>
    <w:rsid w:val="00A36A53"/>
    <w:rsid w:val="00A37E60"/>
    <w:rsid w:val="00A37F33"/>
    <w:rsid w:val="00A37F9F"/>
    <w:rsid w:val="00A40EE8"/>
    <w:rsid w:val="00A414A4"/>
    <w:rsid w:val="00A41697"/>
    <w:rsid w:val="00A41CF8"/>
    <w:rsid w:val="00A42069"/>
    <w:rsid w:val="00A42099"/>
    <w:rsid w:val="00A421EB"/>
    <w:rsid w:val="00A427D1"/>
    <w:rsid w:val="00A42D09"/>
    <w:rsid w:val="00A43CA4"/>
    <w:rsid w:val="00A43CEB"/>
    <w:rsid w:val="00A43FEF"/>
    <w:rsid w:val="00A4420B"/>
    <w:rsid w:val="00A444B7"/>
    <w:rsid w:val="00A44A05"/>
    <w:rsid w:val="00A44E6E"/>
    <w:rsid w:val="00A465B8"/>
    <w:rsid w:val="00A46F43"/>
    <w:rsid w:val="00A472FA"/>
    <w:rsid w:val="00A473A7"/>
    <w:rsid w:val="00A47409"/>
    <w:rsid w:val="00A4765E"/>
    <w:rsid w:val="00A47723"/>
    <w:rsid w:val="00A47AE9"/>
    <w:rsid w:val="00A47C41"/>
    <w:rsid w:val="00A47E35"/>
    <w:rsid w:val="00A5086A"/>
    <w:rsid w:val="00A5166D"/>
    <w:rsid w:val="00A519E5"/>
    <w:rsid w:val="00A529F7"/>
    <w:rsid w:val="00A530B9"/>
    <w:rsid w:val="00A5312E"/>
    <w:rsid w:val="00A5332B"/>
    <w:rsid w:val="00A53FA9"/>
    <w:rsid w:val="00A54241"/>
    <w:rsid w:val="00A54509"/>
    <w:rsid w:val="00A549E7"/>
    <w:rsid w:val="00A551E7"/>
    <w:rsid w:val="00A5525C"/>
    <w:rsid w:val="00A553A1"/>
    <w:rsid w:val="00A55566"/>
    <w:rsid w:val="00A55BCB"/>
    <w:rsid w:val="00A56B78"/>
    <w:rsid w:val="00A57250"/>
    <w:rsid w:val="00A57314"/>
    <w:rsid w:val="00A5779D"/>
    <w:rsid w:val="00A57940"/>
    <w:rsid w:val="00A60AAE"/>
    <w:rsid w:val="00A6141E"/>
    <w:rsid w:val="00A6167C"/>
    <w:rsid w:val="00A616B2"/>
    <w:rsid w:val="00A61BA9"/>
    <w:rsid w:val="00A620DA"/>
    <w:rsid w:val="00A6214A"/>
    <w:rsid w:val="00A622F2"/>
    <w:rsid w:val="00A62AF3"/>
    <w:rsid w:val="00A632C8"/>
    <w:rsid w:val="00A63469"/>
    <w:rsid w:val="00A634E7"/>
    <w:rsid w:val="00A642B6"/>
    <w:rsid w:val="00A64347"/>
    <w:rsid w:val="00A6493D"/>
    <w:rsid w:val="00A64FB7"/>
    <w:rsid w:val="00A6517B"/>
    <w:rsid w:val="00A65350"/>
    <w:rsid w:val="00A65470"/>
    <w:rsid w:val="00A6554C"/>
    <w:rsid w:val="00A66280"/>
    <w:rsid w:val="00A669C6"/>
    <w:rsid w:val="00A66F57"/>
    <w:rsid w:val="00A670DC"/>
    <w:rsid w:val="00A678D4"/>
    <w:rsid w:val="00A701F9"/>
    <w:rsid w:val="00A713CB"/>
    <w:rsid w:val="00A7148F"/>
    <w:rsid w:val="00A71631"/>
    <w:rsid w:val="00A71EAA"/>
    <w:rsid w:val="00A72024"/>
    <w:rsid w:val="00A72455"/>
    <w:rsid w:val="00A725B5"/>
    <w:rsid w:val="00A72C47"/>
    <w:rsid w:val="00A73337"/>
    <w:rsid w:val="00A7429F"/>
    <w:rsid w:val="00A74487"/>
    <w:rsid w:val="00A75022"/>
    <w:rsid w:val="00A750DE"/>
    <w:rsid w:val="00A75A52"/>
    <w:rsid w:val="00A75CAE"/>
    <w:rsid w:val="00A76AAB"/>
    <w:rsid w:val="00A77642"/>
    <w:rsid w:val="00A77CD3"/>
    <w:rsid w:val="00A800E3"/>
    <w:rsid w:val="00A805AA"/>
    <w:rsid w:val="00A80E9C"/>
    <w:rsid w:val="00A810F6"/>
    <w:rsid w:val="00A812A1"/>
    <w:rsid w:val="00A812F4"/>
    <w:rsid w:val="00A81460"/>
    <w:rsid w:val="00A81E21"/>
    <w:rsid w:val="00A8219C"/>
    <w:rsid w:val="00A827C3"/>
    <w:rsid w:val="00A827DC"/>
    <w:rsid w:val="00A82AF6"/>
    <w:rsid w:val="00A82C90"/>
    <w:rsid w:val="00A835B2"/>
    <w:rsid w:val="00A83D3C"/>
    <w:rsid w:val="00A83DED"/>
    <w:rsid w:val="00A83E6B"/>
    <w:rsid w:val="00A84B2D"/>
    <w:rsid w:val="00A84BDF"/>
    <w:rsid w:val="00A84BF9"/>
    <w:rsid w:val="00A850AC"/>
    <w:rsid w:val="00A8543C"/>
    <w:rsid w:val="00A86877"/>
    <w:rsid w:val="00A86CE9"/>
    <w:rsid w:val="00A87704"/>
    <w:rsid w:val="00A877AA"/>
    <w:rsid w:val="00A878D6"/>
    <w:rsid w:val="00A87A61"/>
    <w:rsid w:val="00A9007D"/>
    <w:rsid w:val="00A90409"/>
    <w:rsid w:val="00A9143A"/>
    <w:rsid w:val="00A91AE8"/>
    <w:rsid w:val="00A91CB5"/>
    <w:rsid w:val="00A9262D"/>
    <w:rsid w:val="00A927E7"/>
    <w:rsid w:val="00A92EF2"/>
    <w:rsid w:val="00A93032"/>
    <w:rsid w:val="00A9351C"/>
    <w:rsid w:val="00A93F6C"/>
    <w:rsid w:val="00A945C5"/>
    <w:rsid w:val="00A94D30"/>
    <w:rsid w:val="00A95334"/>
    <w:rsid w:val="00A954E5"/>
    <w:rsid w:val="00A95B9F"/>
    <w:rsid w:val="00A9617F"/>
    <w:rsid w:val="00A966D3"/>
    <w:rsid w:val="00A96B26"/>
    <w:rsid w:val="00A97087"/>
    <w:rsid w:val="00A9721E"/>
    <w:rsid w:val="00A972BF"/>
    <w:rsid w:val="00A97A1E"/>
    <w:rsid w:val="00A97BB5"/>
    <w:rsid w:val="00A97BE7"/>
    <w:rsid w:val="00AA06BD"/>
    <w:rsid w:val="00AA0872"/>
    <w:rsid w:val="00AA0DE5"/>
    <w:rsid w:val="00AA1448"/>
    <w:rsid w:val="00AA15B0"/>
    <w:rsid w:val="00AA1A47"/>
    <w:rsid w:val="00AA30CA"/>
    <w:rsid w:val="00AA38DF"/>
    <w:rsid w:val="00AA39AB"/>
    <w:rsid w:val="00AA3A40"/>
    <w:rsid w:val="00AA4098"/>
    <w:rsid w:val="00AA44C3"/>
    <w:rsid w:val="00AA4FB0"/>
    <w:rsid w:val="00AA51B0"/>
    <w:rsid w:val="00AA52B1"/>
    <w:rsid w:val="00AA58CA"/>
    <w:rsid w:val="00AA5B07"/>
    <w:rsid w:val="00AA6159"/>
    <w:rsid w:val="00AA63D2"/>
    <w:rsid w:val="00AA6F71"/>
    <w:rsid w:val="00AA7054"/>
    <w:rsid w:val="00AA76F0"/>
    <w:rsid w:val="00AA7EE3"/>
    <w:rsid w:val="00AB02D1"/>
    <w:rsid w:val="00AB106B"/>
    <w:rsid w:val="00AB2065"/>
    <w:rsid w:val="00AB3955"/>
    <w:rsid w:val="00AB3E84"/>
    <w:rsid w:val="00AB3F6C"/>
    <w:rsid w:val="00AB48C3"/>
    <w:rsid w:val="00AB4AFF"/>
    <w:rsid w:val="00AB4CD0"/>
    <w:rsid w:val="00AB5C11"/>
    <w:rsid w:val="00AB5D97"/>
    <w:rsid w:val="00AB688E"/>
    <w:rsid w:val="00AB6C50"/>
    <w:rsid w:val="00AB6C9C"/>
    <w:rsid w:val="00AB6D0A"/>
    <w:rsid w:val="00AB6DD2"/>
    <w:rsid w:val="00AB7B67"/>
    <w:rsid w:val="00AC0113"/>
    <w:rsid w:val="00AC2FC4"/>
    <w:rsid w:val="00AC321E"/>
    <w:rsid w:val="00AC371E"/>
    <w:rsid w:val="00AC3B32"/>
    <w:rsid w:val="00AC3DAC"/>
    <w:rsid w:val="00AC5426"/>
    <w:rsid w:val="00AC5739"/>
    <w:rsid w:val="00AC57E1"/>
    <w:rsid w:val="00AC63B5"/>
    <w:rsid w:val="00AC653F"/>
    <w:rsid w:val="00AC6745"/>
    <w:rsid w:val="00AC73FB"/>
    <w:rsid w:val="00AC7546"/>
    <w:rsid w:val="00AC77C2"/>
    <w:rsid w:val="00AD0025"/>
    <w:rsid w:val="00AD0308"/>
    <w:rsid w:val="00AD0314"/>
    <w:rsid w:val="00AD04D7"/>
    <w:rsid w:val="00AD0BAC"/>
    <w:rsid w:val="00AD189A"/>
    <w:rsid w:val="00AD2219"/>
    <w:rsid w:val="00AD28E6"/>
    <w:rsid w:val="00AD3C18"/>
    <w:rsid w:val="00AD4A99"/>
    <w:rsid w:val="00AD4AAD"/>
    <w:rsid w:val="00AD4E3F"/>
    <w:rsid w:val="00AD55C7"/>
    <w:rsid w:val="00AD5884"/>
    <w:rsid w:val="00AD6028"/>
    <w:rsid w:val="00AD670B"/>
    <w:rsid w:val="00AD6F53"/>
    <w:rsid w:val="00AD6FDB"/>
    <w:rsid w:val="00AD73DE"/>
    <w:rsid w:val="00AE09A4"/>
    <w:rsid w:val="00AE1A60"/>
    <w:rsid w:val="00AE26E4"/>
    <w:rsid w:val="00AE33BF"/>
    <w:rsid w:val="00AE3599"/>
    <w:rsid w:val="00AE38FD"/>
    <w:rsid w:val="00AE3AA0"/>
    <w:rsid w:val="00AE40AF"/>
    <w:rsid w:val="00AE4353"/>
    <w:rsid w:val="00AE4C20"/>
    <w:rsid w:val="00AE5130"/>
    <w:rsid w:val="00AE51C2"/>
    <w:rsid w:val="00AE5659"/>
    <w:rsid w:val="00AE5871"/>
    <w:rsid w:val="00AE5F8F"/>
    <w:rsid w:val="00AE6641"/>
    <w:rsid w:val="00AE699F"/>
    <w:rsid w:val="00AE6A29"/>
    <w:rsid w:val="00AE6AC8"/>
    <w:rsid w:val="00AF037C"/>
    <w:rsid w:val="00AF0BC1"/>
    <w:rsid w:val="00AF2E7F"/>
    <w:rsid w:val="00AF2FF6"/>
    <w:rsid w:val="00AF3104"/>
    <w:rsid w:val="00AF31E9"/>
    <w:rsid w:val="00AF3D5C"/>
    <w:rsid w:val="00AF3F01"/>
    <w:rsid w:val="00AF3F3B"/>
    <w:rsid w:val="00AF439B"/>
    <w:rsid w:val="00AF5FFC"/>
    <w:rsid w:val="00AF64A7"/>
    <w:rsid w:val="00AF6BFA"/>
    <w:rsid w:val="00AF6C50"/>
    <w:rsid w:val="00AF7726"/>
    <w:rsid w:val="00AF7A8A"/>
    <w:rsid w:val="00B00C00"/>
    <w:rsid w:val="00B00C4F"/>
    <w:rsid w:val="00B013BB"/>
    <w:rsid w:val="00B017D1"/>
    <w:rsid w:val="00B01901"/>
    <w:rsid w:val="00B025B2"/>
    <w:rsid w:val="00B0265E"/>
    <w:rsid w:val="00B0270A"/>
    <w:rsid w:val="00B028C0"/>
    <w:rsid w:val="00B02CEE"/>
    <w:rsid w:val="00B03373"/>
    <w:rsid w:val="00B03473"/>
    <w:rsid w:val="00B04B59"/>
    <w:rsid w:val="00B057BC"/>
    <w:rsid w:val="00B06789"/>
    <w:rsid w:val="00B06BAA"/>
    <w:rsid w:val="00B06CB9"/>
    <w:rsid w:val="00B06D1F"/>
    <w:rsid w:val="00B071DF"/>
    <w:rsid w:val="00B07227"/>
    <w:rsid w:val="00B074B9"/>
    <w:rsid w:val="00B075EB"/>
    <w:rsid w:val="00B07841"/>
    <w:rsid w:val="00B10513"/>
    <w:rsid w:val="00B11160"/>
    <w:rsid w:val="00B12540"/>
    <w:rsid w:val="00B12739"/>
    <w:rsid w:val="00B142FA"/>
    <w:rsid w:val="00B1491D"/>
    <w:rsid w:val="00B15466"/>
    <w:rsid w:val="00B156D8"/>
    <w:rsid w:val="00B16AAC"/>
    <w:rsid w:val="00B16D28"/>
    <w:rsid w:val="00B17043"/>
    <w:rsid w:val="00B1706B"/>
    <w:rsid w:val="00B17DE4"/>
    <w:rsid w:val="00B17ED2"/>
    <w:rsid w:val="00B2024E"/>
    <w:rsid w:val="00B2043B"/>
    <w:rsid w:val="00B20615"/>
    <w:rsid w:val="00B20A13"/>
    <w:rsid w:val="00B20AB3"/>
    <w:rsid w:val="00B2118D"/>
    <w:rsid w:val="00B216AB"/>
    <w:rsid w:val="00B22735"/>
    <w:rsid w:val="00B227DC"/>
    <w:rsid w:val="00B23316"/>
    <w:rsid w:val="00B2335B"/>
    <w:rsid w:val="00B2363F"/>
    <w:rsid w:val="00B2436F"/>
    <w:rsid w:val="00B24DB3"/>
    <w:rsid w:val="00B24E0F"/>
    <w:rsid w:val="00B25230"/>
    <w:rsid w:val="00B257B0"/>
    <w:rsid w:val="00B26308"/>
    <w:rsid w:val="00B269D3"/>
    <w:rsid w:val="00B26F70"/>
    <w:rsid w:val="00B27154"/>
    <w:rsid w:val="00B2747B"/>
    <w:rsid w:val="00B274CD"/>
    <w:rsid w:val="00B2768E"/>
    <w:rsid w:val="00B27B4B"/>
    <w:rsid w:val="00B30067"/>
    <w:rsid w:val="00B30588"/>
    <w:rsid w:val="00B30ADC"/>
    <w:rsid w:val="00B30C48"/>
    <w:rsid w:val="00B31B76"/>
    <w:rsid w:val="00B320F3"/>
    <w:rsid w:val="00B322E9"/>
    <w:rsid w:val="00B32925"/>
    <w:rsid w:val="00B32B5C"/>
    <w:rsid w:val="00B330CE"/>
    <w:rsid w:val="00B334AD"/>
    <w:rsid w:val="00B33580"/>
    <w:rsid w:val="00B3371F"/>
    <w:rsid w:val="00B33B37"/>
    <w:rsid w:val="00B340DD"/>
    <w:rsid w:val="00B34DAF"/>
    <w:rsid w:val="00B35472"/>
    <w:rsid w:val="00B357FB"/>
    <w:rsid w:val="00B35BB1"/>
    <w:rsid w:val="00B35D5B"/>
    <w:rsid w:val="00B36591"/>
    <w:rsid w:val="00B36AA6"/>
    <w:rsid w:val="00B36E4E"/>
    <w:rsid w:val="00B372CD"/>
    <w:rsid w:val="00B37587"/>
    <w:rsid w:val="00B3759B"/>
    <w:rsid w:val="00B375C1"/>
    <w:rsid w:val="00B37E03"/>
    <w:rsid w:val="00B37E1B"/>
    <w:rsid w:val="00B40157"/>
    <w:rsid w:val="00B405BC"/>
    <w:rsid w:val="00B407EC"/>
    <w:rsid w:val="00B40997"/>
    <w:rsid w:val="00B409C7"/>
    <w:rsid w:val="00B409FA"/>
    <w:rsid w:val="00B4166E"/>
    <w:rsid w:val="00B416A6"/>
    <w:rsid w:val="00B416DE"/>
    <w:rsid w:val="00B41A7A"/>
    <w:rsid w:val="00B42669"/>
    <w:rsid w:val="00B426B8"/>
    <w:rsid w:val="00B4292A"/>
    <w:rsid w:val="00B42A68"/>
    <w:rsid w:val="00B437BA"/>
    <w:rsid w:val="00B43D05"/>
    <w:rsid w:val="00B444F9"/>
    <w:rsid w:val="00B44D13"/>
    <w:rsid w:val="00B44FD5"/>
    <w:rsid w:val="00B45064"/>
    <w:rsid w:val="00B46498"/>
    <w:rsid w:val="00B465A3"/>
    <w:rsid w:val="00B465E8"/>
    <w:rsid w:val="00B474B2"/>
    <w:rsid w:val="00B47551"/>
    <w:rsid w:val="00B477D4"/>
    <w:rsid w:val="00B477F0"/>
    <w:rsid w:val="00B508F2"/>
    <w:rsid w:val="00B51344"/>
    <w:rsid w:val="00B515CB"/>
    <w:rsid w:val="00B51E0B"/>
    <w:rsid w:val="00B52724"/>
    <w:rsid w:val="00B5298C"/>
    <w:rsid w:val="00B52EE4"/>
    <w:rsid w:val="00B5326C"/>
    <w:rsid w:val="00B5348A"/>
    <w:rsid w:val="00B535B1"/>
    <w:rsid w:val="00B53730"/>
    <w:rsid w:val="00B53A22"/>
    <w:rsid w:val="00B5440D"/>
    <w:rsid w:val="00B54CBC"/>
    <w:rsid w:val="00B5527E"/>
    <w:rsid w:val="00B55760"/>
    <w:rsid w:val="00B55DE1"/>
    <w:rsid w:val="00B55F5E"/>
    <w:rsid w:val="00B560EE"/>
    <w:rsid w:val="00B561E4"/>
    <w:rsid w:val="00B56531"/>
    <w:rsid w:val="00B565E7"/>
    <w:rsid w:val="00B5676B"/>
    <w:rsid w:val="00B5696B"/>
    <w:rsid w:val="00B571B8"/>
    <w:rsid w:val="00B579BE"/>
    <w:rsid w:val="00B57C9F"/>
    <w:rsid w:val="00B57DF6"/>
    <w:rsid w:val="00B60714"/>
    <w:rsid w:val="00B60AED"/>
    <w:rsid w:val="00B618E0"/>
    <w:rsid w:val="00B62410"/>
    <w:rsid w:val="00B6337D"/>
    <w:rsid w:val="00B64A40"/>
    <w:rsid w:val="00B65801"/>
    <w:rsid w:val="00B65A34"/>
    <w:rsid w:val="00B65AAC"/>
    <w:rsid w:val="00B65ADC"/>
    <w:rsid w:val="00B65C53"/>
    <w:rsid w:val="00B666D0"/>
    <w:rsid w:val="00B66D89"/>
    <w:rsid w:val="00B67341"/>
    <w:rsid w:val="00B676C7"/>
    <w:rsid w:val="00B67A66"/>
    <w:rsid w:val="00B67F56"/>
    <w:rsid w:val="00B67FD4"/>
    <w:rsid w:val="00B70347"/>
    <w:rsid w:val="00B70AE1"/>
    <w:rsid w:val="00B70CC2"/>
    <w:rsid w:val="00B70D84"/>
    <w:rsid w:val="00B717F7"/>
    <w:rsid w:val="00B720BA"/>
    <w:rsid w:val="00B7285E"/>
    <w:rsid w:val="00B72AE7"/>
    <w:rsid w:val="00B72E37"/>
    <w:rsid w:val="00B7388D"/>
    <w:rsid w:val="00B73C55"/>
    <w:rsid w:val="00B7418F"/>
    <w:rsid w:val="00B7454F"/>
    <w:rsid w:val="00B74855"/>
    <w:rsid w:val="00B748CA"/>
    <w:rsid w:val="00B75665"/>
    <w:rsid w:val="00B76102"/>
    <w:rsid w:val="00B763C0"/>
    <w:rsid w:val="00B767F7"/>
    <w:rsid w:val="00B76F17"/>
    <w:rsid w:val="00B777AC"/>
    <w:rsid w:val="00B7783F"/>
    <w:rsid w:val="00B778BA"/>
    <w:rsid w:val="00B77B76"/>
    <w:rsid w:val="00B801DC"/>
    <w:rsid w:val="00B80826"/>
    <w:rsid w:val="00B80C84"/>
    <w:rsid w:val="00B81136"/>
    <w:rsid w:val="00B81888"/>
    <w:rsid w:val="00B81EEE"/>
    <w:rsid w:val="00B81F20"/>
    <w:rsid w:val="00B82142"/>
    <w:rsid w:val="00B82265"/>
    <w:rsid w:val="00B82E91"/>
    <w:rsid w:val="00B834C2"/>
    <w:rsid w:val="00B8357F"/>
    <w:rsid w:val="00B83875"/>
    <w:rsid w:val="00B839A9"/>
    <w:rsid w:val="00B83CD1"/>
    <w:rsid w:val="00B83E35"/>
    <w:rsid w:val="00B83F88"/>
    <w:rsid w:val="00B842AE"/>
    <w:rsid w:val="00B8531B"/>
    <w:rsid w:val="00B857F7"/>
    <w:rsid w:val="00B85B49"/>
    <w:rsid w:val="00B85D20"/>
    <w:rsid w:val="00B86659"/>
    <w:rsid w:val="00B86A55"/>
    <w:rsid w:val="00B876AD"/>
    <w:rsid w:val="00B8791B"/>
    <w:rsid w:val="00B87FDF"/>
    <w:rsid w:val="00B905E5"/>
    <w:rsid w:val="00B92223"/>
    <w:rsid w:val="00B9240E"/>
    <w:rsid w:val="00B92A23"/>
    <w:rsid w:val="00B92B8D"/>
    <w:rsid w:val="00B92DBE"/>
    <w:rsid w:val="00B93CC1"/>
    <w:rsid w:val="00B941A8"/>
    <w:rsid w:val="00B9570D"/>
    <w:rsid w:val="00B95CCF"/>
    <w:rsid w:val="00B95EE5"/>
    <w:rsid w:val="00B95F2B"/>
    <w:rsid w:val="00B966A8"/>
    <w:rsid w:val="00B96ED1"/>
    <w:rsid w:val="00B9750F"/>
    <w:rsid w:val="00BA089D"/>
    <w:rsid w:val="00BA08B5"/>
    <w:rsid w:val="00BA0FF3"/>
    <w:rsid w:val="00BA13DD"/>
    <w:rsid w:val="00BA1C53"/>
    <w:rsid w:val="00BA20B6"/>
    <w:rsid w:val="00BA2262"/>
    <w:rsid w:val="00BA2451"/>
    <w:rsid w:val="00BA2D82"/>
    <w:rsid w:val="00BA2EC9"/>
    <w:rsid w:val="00BA388D"/>
    <w:rsid w:val="00BA4C7E"/>
    <w:rsid w:val="00BA527E"/>
    <w:rsid w:val="00BA5B6E"/>
    <w:rsid w:val="00BA6359"/>
    <w:rsid w:val="00BA67F8"/>
    <w:rsid w:val="00BA7880"/>
    <w:rsid w:val="00BA794F"/>
    <w:rsid w:val="00BB0835"/>
    <w:rsid w:val="00BB08BB"/>
    <w:rsid w:val="00BB0E63"/>
    <w:rsid w:val="00BB113B"/>
    <w:rsid w:val="00BB13F1"/>
    <w:rsid w:val="00BB163E"/>
    <w:rsid w:val="00BB181E"/>
    <w:rsid w:val="00BB186C"/>
    <w:rsid w:val="00BB18C8"/>
    <w:rsid w:val="00BB1B44"/>
    <w:rsid w:val="00BB22CA"/>
    <w:rsid w:val="00BB2BE6"/>
    <w:rsid w:val="00BB39F6"/>
    <w:rsid w:val="00BB3A15"/>
    <w:rsid w:val="00BB3D08"/>
    <w:rsid w:val="00BB4696"/>
    <w:rsid w:val="00BB4D48"/>
    <w:rsid w:val="00BB5B50"/>
    <w:rsid w:val="00BB6918"/>
    <w:rsid w:val="00BB7260"/>
    <w:rsid w:val="00BC031F"/>
    <w:rsid w:val="00BC0341"/>
    <w:rsid w:val="00BC038C"/>
    <w:rsid w:val="00BC1027"/>
    <w:rsid w:val="00BC1E03"/>
    <w:rsid w:val="00BC275D"/>
    <w:rsid w:val="00BC3415"/>
    <w:rsid w:val="00BC360E"/>
    <w:rsid w:val="00BC377E"/>
    <w:rsid w:val="00BC3799"/>
    <w:rsid w:val="00BC37A2"/>
    <w:rsid w:val="00BC48E8"/>
    <w:rsid w:val="00BC4D0D"/>
    <w:rsid w:val="00BC54F2"/>
    <w:rsid w:val="00BC5898"/>
    <w:rsid w:val="00BC6946"/>
    <w:rsid w:val="00BC7727"/>
    <w:rsid w:val="00BC793F"/>
    <w:rsid w:val="00BC7D92"/>
    <w:rsid w:val="00BC7EBC"/>
    <w:rsid w:val="00BD04BE"/>
    <w:rsid w:val="00BD2328"/>
    <w:rsid w:val="00BD255C"/>
    <w:rsid w:val="00BD36D2"/>
    <w:rsid w:val="00BD4158"/>
    <w:rsid w:val="00BD471A"/>
    <w:rsid w:val="00BD4D2A"/>
    <w:rsid w:val="00BD502A"/>
    <w:rsid w:val="00BD5EB4"/>
    <w:rsid w:val="00BD72F5"/>
    <w:rsid w:val="00BD73AA"/>
    <w:rsid w:val="00BD7ECF"/>
    <w:rsid w:val="00BE0148"/>
    <w:rsid w:val="00BE0BBE"/>
    <w:rsid w:val="00BE10A6"/>
    <w:rsid w:val="00BE1894"/>
    <w:rsid w:val="00BE2CC0"/>
    <w:rsid w:val="00BE32BA"/>
    <w:rsid w:val="00BE34B1"/>
    <w:rsid w:val="00BE386D"/>
    <w:rsid w:val="00BE3AE5"/>
    <w:rsid w:val="00BE3C7F"/>
    <w:rsid w:val="00BE4267"/>
    <w:rsid w:val="00BE4BCF"/>
    <w:rsid w:val="00BE5429"/>
    <w:rsid w:val="00BE5489"/>
    <w:rsid w:val="00BE5F1A"/>
    <w:rsid w:val="00BE6192"/>
    <w:rsid w:val="00BE623F"/>
    <w:rsid w:val="00BE6257"/>
    <w:rsid w:val="00BE6323"/>
    <w:rsid w:val="00BE646B"/>
    <w:rsid w:val="00BF0123"/>
    <w:rsid w:val="00BF06CD"/>
    <w:rsid w:val="00BF0D63"/>
    <w:rsid w:val="00BF11F2"/>
    <w:rsid w:val="00BF2AA7"/>
    <w:rsid w:val="00BF2CE3"/>
    <w:rsid w:val="00BF3653"/>
    <w:rsid w:val="00BF3676"/>
    <w:rsid w:val="00BF3CA8"/>
    <w:rsid w:val="00BF4E25"/>
    <w:rsid w:val="00BF5182"/>
    <w:rsid w:val="00BF5237"/>
    <w:rsid w:val="00BF65B5"/>
    <w:rsid w:val="00BF6DD7"/>
    <w:rsid w:val="00BF6E68"/>
    <w:rsid w:val="00BF6F88"/>
    <w:rsid w:val="00C00076"/>
    <w:rsid w:val="00C0058F"/>
    <w:rsid w:val="00C00670"/>
    <w:rsid w:val="00C006BB"/>
    <w:rsid w:val="00C0146C"/>
    <w:rsid w:val="00C014B1"/>
    <w:rsid w:val="00C01A06"/>
    <w:rsid w:val="00C01F73"/>
    <w:rsid w:val="00C02904"/>
    <w:rsid w:val="00C02A60"/>
    <w:rsid w:val="00C02FCA"/>
    <w:rsid w:val="00C0419D"/>
    <w:rsid w:val="00C04836"/>
    <w:rsid w:val="00C04D58"/>
    <w:rsid w:val="00C05158"/>
    <w:rsid w:val="00C0515A"/>
    <w:rsid w:val="00C0524A"/>
    <w:rsid w:val="00C0535D"/>
    <w:rsid w:val="00C06C8E"/>
    <w:rsid w:val="00C10328"/>
    <w:rsid w:val="00C10396"/>
    <w:rsid w:val="00C10BEC"/>
    <w:rsid w:val="00C1117D"/>
    <w:rsid w:val="00C11590"/>
    <w:rsid w:val="00C122CF"/>
    <w:rsid w:val="00C13221"/>
    <w:rsid w:val="00C13521"/>
    <w:rsid w:val="00C13A52"/>
    <w:rsid w:val="00C13A72"/>
    <w:rsid w:val="00C13AA6"/>
    <w:rsid w:val="00C14DBF"/>
    <w:rsid w:val="00C1534E"/>
    <w:rsid w:val="00C159E6"/>
    <w:rsid w:val="00C15DA7"/>
    <w:rsid w:val="00C16219"/>
    <w:rsid w:val="00C165B7"/>
    <w:rsid w:val="00C168FA"/>
    <w:rsid w:val="00C16970"/>
    <w:rsid w:val="00C16DCD"/>
    <w:rsid w:val="00C16EA9"/>
    <w:rsid w:val="00C17A69"/>
    <w:rsid w:val="00C2051D"/>
    <w:rsid w:val="00C205A0"/>
    <w:rsid w:val="00C20601"/>
    <w:rsid w:val="00C2179F"/>
    <w:rsid w:val="00C22019"/>
    <w:rsid w:val="00C22C8B"/>
    <w:rsid w:val="00C24536"/>
    <w:rsid w:val="00C24A66"/>
    <w:rsid w:val="00C25A82"/>
    <w:rsid w:val="00C25F08"/>
    <w:rsid w:val="00C260EC"/>
    <w:rsid w:val="00C26E5C"/>
    <w:rsid w:val="00C30D46"/>
    <w:rsid w:val="00C30F8A"/>
    <w:rsid w:val="00C3153F"/>
    <w:rsid w:val="00C31833"/>
    <w:rsid w:val="00C31B4F"/>
    <w:rsid w:val="00C33271"/>
    <w:rsid w:val="00C332B0"/>
    <w:rsid w:val="00C33543"/>
    <w:rsid w:val="00C33600"/>
    <w:rsid w:val="00C33FDC"/>
    <w:rsid w:val="00C3423C"/>
    <w:rsid w:val="00C3440D"/>
    <w:rsid w:val="00C3472C"/>
    <w:rsid w:val="00C34AE7"/>
    <w:rsid w:val="00C35FAB"/>
    <w:rsid w:val="00C364A2"/>
    <w:rsid w:val="00C3682A"/>
    <w:rsid w:val="00C371FE"/>
    <w:rsid w:val="00C3752B"/>
    <w:rsid w:val="00C3773B"/>
    <w:rsid w:val="00C37BD9"/>
    <w:rsid w:val="00C41742"/>
    <w:rsid w:val="00C42A2F"/>
    <w:rsid w:val="00C42A47"/>
    <w:rsid w:val="00C42DC2"/>
    <w:rsid w:val="00C43D87"/>
    <w:rsid w:val="00C44BF2"/>
    <w:rsid w:val="00C44FFA"/>
    <w:rsid w:val="00C45853"/>
    <w:rsid w:val="00C45B7A"/>
    <w:rsid w:val="00C45D71"/>
    <w:rsid w:val="00C45E4E"/>
    <w:rsid w:val="00C45E9D"/>
    <w:rsid w:val="00C463AB"/>
    <w:rsid w:val="00C4668A"/>
    <w:rsid w:val="00C466C8"/>
    <w:rsid w:val="00C46C69"/>
    <w:rsid w:val="00C46CD1"/>
    <w:rsid w:val="00C46D5F"/>
    <w:rsid w:val="00C46DCE"/>
    <w:rsid w:val="00C47AC2"/>
    <w:rsid w:val="00C47D92"/>
    <w:rsid w:val="00C47DBC"/>
    <w:rsid w:val="00C500EB"/>
    <w:rsid w:val="00C50ECB"/>
    <w:rsid w:val="00C51824"/>
    <w:rsid w:val="00C52181"/>
    <w:rsid w:val="00C521A9"/>
    <w:rsid w:val="00C52534"/>
    <w:rsid w:val="00C526D6"/>
    <w:rsid w:val="00C52AF3"/>
    <w:rsid w:val="00C52BD0"/>
    <w:rsid w:val="00C53395"/>
    <w:rsid w:val="00C53A0F"/>
    <w:rsid w:val="00C54C70"/>
    <w:rsid w:val="00C5501E"/>
    <w:rsid w:val="00C5707C"/>
    <w:rsid w:val="00C57439"/>
    <w:rsid w:val="00C57B70"/>
    <w:rsid w:val="00C57DF3"/>
    <w:rsid w:val="00C60116"/>
    <w:rsid w:val="00C6024F"/>
    <w:rsid w:val="00C60729"/>
    <w:rsid w:val="00C607F0"/>
    <w:rsid w:val="00C60FC3"/>
    <w:rsid w:val="00C61168"/>
    <w:rsid w:val="00C619AD"/>
    <w:rsid w:val="00C61D60"/>
    <w:rsid w:val="00C62CB9"/>
    <w:rsid w:val="00C63077"/>
    <w:rsid w:val="00C63F80"/>
    <w:rsid w:val="00C63F95"/>
    <w:rsid w:val="00C6509B"/>
    <w:rsid w:val="00C651CF"/>
    <w:rsid w:val="00C652AB"/>
    <w:rsid w:val="00C65835"/>
    <w:rsid w:val="00C65918"/>
    <w:rsid w:val="00C65AAA"/>
    <w:rsid w:val="00C65BE5"/>
    <w:rsid w:val="00C65EC1"/>
    <w:rsid w:val="00C66985"/>
    <w:rsid w:val="00C66FCB"/>
    <w:rsid w:val="00C67093"/>
    <w:rsid w:val="00C6728C"/>
    <w:rsid w:val="00C6791C"/>
    <w:rsid w:val="00C67C6E"/>
    <w:rsid w:val="00C67E46"/>
    <w:rsid w:val="00C67EE1"/>
    <w:rsid w:val="00C7098B"/>
    <w:rsid w:val="00C70C97"/>
    <w:rsid w:val="00C70FA0"/>
    <w:rsid w:val="00C7126A"/>
    <w:rsid w:val="00C713E0"/>
    <w:rsid w:val="00C7265A"/>
    <w:rsid w:val="00C73690"/>
    <w:rsid w:val="00C73790"/>
    <w:rsid w:val="00C74025"/>
    <w:rsid w:val="00C740DB"/>
    <w:rsid w:val="00C75338"/>
    <w:rsid w:val="00C75605"/>
    <w:rsid w:val="00C75B9F"/>
    <w:rsid w:val="00C75C76"/>
    <w:rsid w:val="00C7799F"/>
    <w:rsid w:val="00C77B4D"/>
    <w:rsid w:val="00C77E34"/>
    <w:rsid w:val="00C77E67"/>
    <w:rsid w:val="00C8013E"/>
    <w:rsid w:val="00C808B2"/>
    <w:rsid w:val="00C80968"/>
    <w:rsid w:val="00C812CB"/>
    <w:rsid w:val="00C815AD"/>
    <w:rsid w:val="00C81E7A"/>
    <w:rsid w:val="00C82342"/>
    <w:rsid w:val="00C825A8"/>
    <w:rsid w:val="00C835AF"/>
    <w:rsid w:val="00C837F5"/>
    <w:rsid w:val="00C83881"/>
    <w:rsid w:val="00C83C5B"/>
    <w:rsid w:val="00C84347"/>
    <w:rsid w:val="00C844B4"/>
    <w:rsid w:val="00C8463A"/>
    <w:rsid w:val="00C847BF"/>
    <w:rsid w:val="00C84E7D"/>
    <w:rsid w:val="00C850CB"/>
    <w:rsid w:val="00C859BB"/>
    <w:rsid w:val="00C86017"/>
    <w:rsid w:val="00C86314"/>
    <w:rsid w:val="00C86A99"/>
    <w:rsid w:val="00C86F4F"/>
    <w:rsid w:val="00C86FD1"/>
    <w:rsid w:val="00C87A65"/>
    <w:rsid w:val="00C87D32"/>
    <w:rsid w:val="00C87F0F"/>
    <w:rsid w:val="00C87FA7"/>
    <w:rsid w:val="00C87FF8"/>
    <w:rsid w:val="00C90420"/>
    <w:rsid w:val="00C90D95"/>
    <w:rsid w:val="00C919B3"/>
    <w:rsid w:val="00C91DE8"/>
    <w:rsid w:val="00C9204A"/>
    <w:rsid w:val="00C92143"/>
    <w:rsid w:val="00C92AA8"/>
    <w:rsid w:val="00C92B19"/>
    <w:rsid w:val="00C92B2F"/>
    <w:rsid w:val="00C9404F"/>
    <w:rsid w:val="00C94382"/>
    <w:rsid w:val="00C9494D"/>
    <w:rsid w:val="00C94DE5"/>
    <w:rsid w:val="00C95793"/>
    <w:rsid w:val="00C95F88"/>
    <w:rsid w:val="00C9642E"/>
    <w:rsid w:val="00C96482"/>
    <w:rsid w:val="00C9648E"/>
    <w:rsid w:val="00C97094"/>
    <w:rsid w:val="00C97592"/>
    <w:rsid w:val="00C975A2"/>
    <w:rsid w:val="00C97C85"/>
    <w:rsid w:val="00CA0ACF"/>
    <w:rsid w:val="00CA0B06"/>
    <w:rsid w:val="00CA176A"/>
    <w:rsid w:val="00CA1990"/>
    <w:rsid w:val="00CA200E"/>
    <w:rsid w:val="00CA242B"/>
    <w:rsid w:val="00CA25BD"/>
    <w:rsid w:val="00CA2F07"/>
    <w:rsid w:val="00CA2FA2"/>
    <w:rsid w:val="00CA3748"/>
    <w:rsid w:val="00CA379C"/>
    <w:rsid w:val="00CA3C71"/>
    <w:rsid w:val="00CA3CB7"/>
    <w:rsid w:val="00CA4414"/>
    <w:rsid w:val="00CA47DB"/>
    <w:rsid w:val="00CA5370"/>
    <w:rsid w:val="00CA5AB9"/>
    <w:rsid w:val="00CA6241"/>
    <w:rsid w:val="00CA6A6D"/>
    <w:rsid w:val="00CA6CE6"/>
    <w:rsid w:val="00CA7A17"/>
    <w:rsid w:val="00CB0020"/>
    <w:rsid w:val="00CB03FD"/>
    <w:rsid w:val="00CB07CA"/>
    <w:rsid w:val="00CB0D45"/>
    <w:rsid w:val="00CB0F35"/>
    <w:rsid w:val="00CB1042"/>
    <w:rsid w:val="00CB1615"/>
    <w:rsid w:val="00CB222A"/>
    <w:rsid w:val="00CB2F0E"/>
    <w:rsid w:val="00CB3132"/>
    <w:rsid w:val="00CB3BCD"/>
    <w:rsid w:val="00CB428A"/>
    <w:rsid w:val="00CB4421"/>
    <w:rsid w:val="00CB449B"/>
    <w:rsid w:val="00CB4B23"/>
    <w:rsid w:val="00CB5604"/>
    <w:rsid w:val="00CB5630"/>
    <w:rsid w:val="00CB730E"/>
    <w:rsid w:val="00CB7382"/>
    <w:rsid w:val="00CB7B98"/>
    <w:rsid w:val="00CB7D0A"/>
    <w:rsid w:val="00CB7E05"/>
    <w:rsid w:val="00CC0385"/>
    <w:rsid w:val="00CC0BD0"/>
    <w:rsid w:val="00CC1F56"/>
    <w:rsid w:val="00CC23D9"/>
    <w:rsid w:val="00CC2B22"/>
    <w:rsid w:val="00CC2B8C"/>
    <w:rsid w:val="00CC2DDE"/>
    <w:rsid w:val="00CC38BA"/>
    <w:rsid w:val="00CC3901"/>
    <w:rsid w:val="00CC3C6C"/>
    <w:rsid w:val="00CC4644"/>
    <w:rsid w:val="00CC4A2A"/>
    <w:rsid w:val="00CC5155"/>
    <w:rsid w:val="00CC5D80"/>
    <w:rsid w:val="00CC64C0"/>
    <w:rsid w:val="00CC64C5"/>
    <w:rsid w:val="00CC675C"/>
    <w:rsid w:val="00CC688C"/>
    <w:rsid w:val="00CC6B8C"/>
    <w:rsid w:val="00CC7263"/>
    <w:rsid w:val="00CC740C"/>
    <w:rsid w:val="00CD00CE"/>
    <w:rsid w:val="00CD00D3"/>
    <w:rsid w:val="00CD0E08"/>
    <w:rsid w:val="00CD1021"/>
    <w:rsid w:val="00CD1821"/>
    <w:rsid w:val="00CD190A"/>
    <w:rsid w:val="00CD1E5F"/>
    <w:rsid w:val="00CD1E80"/>
    <w:rsid w:val="00CD2678"/>
    <w:rsid w:val="00CD2F0D"/>
    <w:rsid w:val="00CD2F6C"/>
    <w:rsid w:val="00CD348E"/>
    <w:rsid w:val="00CD3AEA"/>
    <w:rsid w:val="00CD3BEF"/>
    <w:rsid w:val="00CD3E77"/>
    <w:rsid w:val="00CD43D7"/>
    <w:rsid w:val="00CD4BA0"/>
    <w:rsid w:val="00CD524B"/>
    <w:rsid w:val="00CD524F"/>
    <w:rsid w:val="00CD6A70"/>
    <w:rsid w:val="00CD6D46"/>
    <w:rsid w:val="00CD7097"/>
    <w:rsid w:val="00CD7214"/>
    <w:rsid w:val="00CD7E52"/>
    <w:rsid w:val="00CE0ACB"/>
    <w:rsid w:val="00CE0B63"/>
    <w:rsid w:val="00CE145C"/>
    <w:rsid w:val="00CE185C"/>
    <w:rsid w:val="00CE20AD"/>
    <w:rsid w:val="00CE20EC"/>
    <w:rsid w:val="00CE233C"/>
    <w:rsid w:val="00CE2868"/>
    <w:rsid w:val="00CE288F"/>
    <w:rsid w:val="00CE2A7B"/>
    <w:rsid w:val="00CE2AC8"/>
    <w:rsid w:val="00CE3A8B"/>
    <w:rsid w:val="00CE3F36"/>
    <w:rsid w:val="00CE41F0"/>
    <w:rsid w:val="00CE4C69"/>
    <w:rsid w:val="00CE4EC9"/>
    <w:rsid w:val="00CE603A"/>
    <w:rsid w:val="00CE618C"/>
    <w:rsid w:val="00CE6207"/>
    <w:rsid w:val="00CE634E"/>
    <w:rsid w:val="00CE6396"/>
    <w:rsid w:val="00CE64AE"/>
    <w:rsid w:val="00CE6AF7"/>
    <w:rsid w:val="00CE7294"/>
    <w:rsid w:val="00CE7F07"/>
    <w:rsid w:val="00CE7F27"/>
    <w:rsid w:val="00CF015F"/>
    <w:rsid w:val="00CF0514"/>
    <w:rsid w:val="00CF0CB5"/>
    <w:rsid w:val="00CF1975"/>
    <w:rsid w:val="00CF1AE7"/>
    <w:rsid w:val="00CF1CBA"/>
    <w:rsid w:val="00CF1E40"/>
    <w:rsid w:val="00CF1F02"/>
    <w:rsid w:val="00CF220E"/>
    <w:rsid w:val="00CF23ED"/>
    <w:rsid w:val="00CF297F"/>
    <w:rsid w:val="00CF3135"/>
    <w:rsid w:val="00CF31C5"/>
    <w:rsid w:val="00CF3748"/>
    <w:rsid w:val="00CF4510"/>
    <w:rsid w:val="00CF490C"/>
    <w:rsid w:val="00CF49F5"/>
    <w:rsid w:val="00CF4C3E"/>
    <w:rsid w:val="00CF4FD8"/>
    <w:rsid w:val="00CF52BE"/>
    <w:rsid w:val="00CF5B82"/>
    <w:rsid w:val="00CF5FC3"/>
    <w:rsid w:val="00CF614B"/>
    <w:rsid w:val="00CF6968"/>
    <w:rsid w:val="00CF6A02"/>
    <w:rsid w:val="00CF702A"/>
    <w:rsid w:val="00CF727B"/>
    <w:rsid w:val="00D00158"/>
    <w:rsid w:val="00D01275"/>
    <w:rsid w:val="00D01726"/>
    <w:rsid w:val="00D02501"/>
    <w:rsid w:val="00D02A15"/>
    <w:rsid w:val="00D02CC8"/>
    <w:rsid w:val="00D03305"/>
    <w:rsid w:val="00D0362C"/>
    <w:rsid w:val="00D04633"/>
    <w:rsid w:val="00D05212"/>
    <w:rsid w:val="00D052BE"/>
    <w:rsid w:val="00D054F4"/>
    <w:rsid w:val="00D05D01"/>
    <w:rsid w:val="00D062E3"/>
    <w:rsid w:val="00D06490"/>
    <w:rsid w:val="00D07422"/>
    <w:rsid w:val="00D07480"/>
    <w:rsid w:val="00D07C39"/>
    <w:rsid w:val="00D07CB9"/>
    <w:rsid w:val="00D10111"/>
    <w:rsid w:val="00D103EF"/>
    <w:rsid w:val="00D10655"/>
    <w:rsid w:val="00D1074E"/>
    <w:rsid w:val="00D107DA"/>
    <w:rsid w:val="00D10E2C"/>
    <w:rsid w:val="00D10F3C"/>
    <w:rsid w:val="00D11114"/>
    <w:rsid w:val="00D11A31"/>
    <w:rsid w:val="00D11BDD"/>
    <w:rsid w:val="00D11FFF"/>
    <w:rsid w:val="00D129C5"/>
    <w:rsid w:val="00D12E20"/>
    <w:rsid w:val="00D13444"/>
    <w:rsid w:val="00D13CE4"/>
    <w:rsid w:val="00D13DA7"/>
    <w:rsid w:val="00D1453D"/>
    <w:rsid w:val="00D14E6A"/>
    <w:rsid w:val="00D15751"/>
    <w:rsid w:val="00D15C34"/>
    <w:rsid w:val="00D15CC8"/>
    <w:rsid w:val="00D1734B"/>
    <w:rsid w:val="00D17456"/>
    <w:rsid w:val="00D178C3"/>
    <w:rsid w:val="00D17DDB"/>
    <w:rsid w:val="00D17E61"/>
    <w:rsid w:val="00D17FF1"/>
    <w:rsid w:val="00D20A18"/>
    <w:rsid w:val="00D20B90"/>
    <w:rsid w:val="00D20BF0"/>
    <w:rsid w:val="00D20F25"/>
    <w:rsid w:val="00D21616"/>
    <w:rsid w:val="00D22052"/>
    <w:rsid w:val="00D227D2"/>
    <w:rsid w:val="00D23D36"/>
    <w:rsid w:val="00D24A83"/>
    <w:rsid w:val="00D24C2A"/>
    <w:rsid w:val="00D24F2F"/>
    <w:rsid w:val="00D254D4"/>
    <w:rsid w:val="00D255F1"/>
    <w:rsid w:val="00D26708"/>
    <w:rsid w:val="00D26A00"/>
    <w:rsid w:val="00D26B13"/>
    <w:rsid w:val="00D2719A"/>
    <w:rsid w:val="00D27984"/>
    <w:rsid w:val="00D27E93"/>
    <w:rsid w:val="00D30073"/>
    <w:rsid w:val="00D30426"/>
    <w:rsid w:val="00D30B84"/>
    <w:rsid w:val="00D30C66"/>
    <w:rsid w:val="00D31738"/>
    <w:rsid w:val="00D31B47"/>
    <w:rsid w:val="00D3228A"/>
    <w:rsid w:val="00D32462"/>
    <w:rsid w:val="00D32E35"/>
    <w:rsid w:val="00D33970"/>
    <w:rsid w:val="00D3411E"/>
    <w:rsid w:val="00D3484B"/>
    <w:rsid w:val="00D34D28"/>
    <w:rsid w:val="00D37230"/>
    <w:rsid w:val="00D378AB"/>
    <w:rsid w:val="00D37D36"/>
    <w:rsid w:val="00D408ED"/>
    <w:rsid w:val="00D40DDC"/>
    <w:rsid w:val="00D41079"/>
    <w:rsid w:val="00D4222F"/>
    <w:rsid w:val="00D42489"/>
    <w:rsid w:val="00D426A3"/>
    <w:rsid w:val="00D42D06"/>
    <w:rsid w:val="00D42E82"/>
    <w:rsid w:val="00D43212"/>
    <w:rsid w:val="00D44190"/>
    <w:rsid w:val="00D4498B"/>
    <w:rsid w:val="00D44A08"/>
    <w:rsid w:val="00D44A2C"/>
    <w:rsid w:val="00D4502B"/>
    <w:rsid w:val="00D456C1"/>
    <w:rsid w:val="00D4585D"/>
    <w:rsid w:val="00D466E8"/>
    <w:rsid w:val="00D47B0D"/>
    <w:rsid w:val="00D47DA5"/>
    <w:rsid w:val="00D5090C"/>
    <w:rsid w:val="00D50B43"/>
    <w:rsid w:val="00D50DB5"/>
    <w:rsid w:val="00D5106B"/>
    <w:rsid w:val="00D51634"/>
    <w:rsid w:val="00D5241C"/>
    <w:rsid w:val="00D52561"/>
    <w:rsid w:val="00D53091"/>
    <w:rsid w:val="00D531DA"/>
    <w:rsid w:val="00D53A57"/>
    <w:rsid w:val="00D53CB1"/>
    <w:rsid w:val="00D544BE"/>
    <w:rsid w:val="00D54727"/>
    <w:rsid w:val="00D5473F"/>
    <w:rsid w:val="00D5508F"/>
    <w:rsid w:val="00D55217"/>
    <w:rsid w:val="00D55F5A"/>
    <w:rsid w:val="00D567FF"/>
    <w:rsid w:val="00D5693B"/>
    <w:rsid w:val="00D56EAC"/>
    <w:rsid w:val="00D570CC"/>
    <w:rsid w:val="00D579D1"/>
    <w:rsid w:val="00D57CC2"/>
    <w:rsid w:val="00D60444"/>
    <w:rsid w:val="00D611B7"/>
    <w:rsid w:val="00D616B6"/>
    <w:rsid w:val="00D6192F"/>
    <w:rsid w:val="00D61C29"/>
    <w:rsid w:val="00D62580"/>
    <w:rsid w:val="00D625A6"/>
    <w:rsid w:val="00D6317A"/>
    <w:rsid w:val="00D641C9"/>
    <w:rsid w:val="00D64734"/>
    <w:rsid w:val="00D64CC5"/>
    <w:rsid w:val="00D64F54"/>
    <w:rsid w:val="00D655B0"/>
    <w:rsid w:val="00D65672"/>
    <w:rsid w:val="00D65ABF"/>
    <w:rsid w:val="00D65EEF"/>
    <w:rsid w:val="00D65FBE"/>
    <w:rsid w:val="00D66602"/>
    <w:rsid w:val="00D66746"/>
    <w:rsid w:val="00D70256"/>
    <w:rsid w:val="00D709DA"/>
    <w:rsid w:val="00D70D43"/>
    <w:rsid w:val="00D71008"/>
    <w:rsid w:val="00D711FE"/>
    <w:rsid w:val="00D71B7F"/>
    <w:rsid w:val="00D72235"/>
    <w:rsid w:val="00D72260"/>
    <w:rsid w:val="00D73531"/>
    <w:rsid w:val="00D737D1"/>
    <w:rsid w:val="00D7395F"/>
    <w:rsid w:val="00D74040"/>
    <w:rsid w:val="00D742ED"/>
    <w:rsid w:val="00D747E0"/>
    <w:rsid w:val="00D754D0"/>
    <w:rsid w:val="00D75623"/>
    <w:rsid w:val="00D7599B"/>
    <w:rsid w:val="00D75CB9"/>
    <w:rsid w:val="00D75D65"/>
    <w:rsid w:val="00D76AA0"/>
    <w:rsid w:val="00D76E28"/>
    <w:rsid w:val="00D76E2C"/>
    <w:rsid w:val="00D77F91"/>
    <w:rsid w:val="00D80CC4"/>
    <w:rsid w:val="00D81543"/>
    <w:rsid w:val="00D817D5"/>
    <w:rsid w:val="00D825DA"/>
    <w:rsid w:val="00D8355C"/>
    <w:rsid w:val="00D83A7A"/>
    <w:rsid w:val="00D8408E"/>
    <w:rsid w:val="00D84344"/>
    <w:rsid w:val="00D84648"/>
    <w:rsid w:val="00D84657"/>
    <w:rsid w:val="00D847D7"/>
    <w:rsid w:val="00D84988"/>
    <w:rsid w:val="00D84DB4"/>
    <w:rsid w:val="00D8548F"/>
    <w:rsid w:val="00D8552E"/>
    <w:rsid w:val="00D8576F"/>
    <w:rsid w:val="00D8591F"/>
    <w:rsid w:val="00D85B4F"/>
    <w:rsid w:val="00D85CD1"/>
    <w:rsid w:val="00D860E7"/>
    <w:rsid w:val="00D86DB5"/>
    <w:rsid w:val="00D87730"/>
    <w:rsid w:val="00D87AEF"/>
    <w:rsid w:val="00D91752"/>
    <w:rsid w:val="00D91B7C"/>
    <w:rsid w:val="00D9229B"/>
    <w:rsid w:val="00D926EB"/>
    <w:rsid w:val="00D92A1E"/>
    <w:rsid w:val="00D93120"/>
    <w:rsid w:val="00D93D57"/>
    <w:rsid w:val="00D9403F"/>
    <w:rsid w:val="00D952B4"/>
    <w:rsid w:val="00D957E3"/>
    <w:rsid w:val="00D9585B"/>
    <w:rsid w:val="00D960B9"/>
    <w:rsid w:val="00D96F8C"/>
    <w:rsid w:val="00D9713D"/>
    <w:rsid w:val="00D97F12"/>
    <w:rsid w:val="00DA0C82"/>
    <w:rsid w:val="00DA0DF6"/>
    <w:rsid w:val="00DA0EAA"/>
    <w:rsid w:val="00DA0F63"/>
    <w:rsid w:val="00DA157F"/>
    <w:rsid w:val="00DA1705"/>
    <w:rsid w:val="00DA1DEA"/>
    <w:rsid w:val="00DA263C"/>
    <w:rsid w:val="00DA287A"/>
    <w:rsid w:val="00DA352D"/>
    <w:rsid w:val="00DA3E65"/>
    <w:rsid w:val="00DA4382"/>
    <w:rsid w:val="00DA43D3"/>
    <w:rsid w:val="00DA5A9A"/>
    <w:rsid w:val="00DA5B81"/>
    <w:rsid w:val="00DA627D"/>
    <w:rsid w:val="00DA63E7"/>
    <w:rsid w:val="00DA67BA"/>
    <w:rsid w:val="00DA73F3"/>
    <w:rsid w:val="00DA74DC"/>
    <w:rsid w:val="00DA75FC"/>
    <w:rsid w:val="00DA79A6"/>
    <w:rsid w:val="00DA79E3"/>
    <w:rsid w:val="00DA7BA4"/>
    <w:rsid w:val="00DA7F20"/>
    <w:rsid w:val="00DB005F"/>
    <w:rsid w:val="00DB0B84"/>
    <w:rsid w:val="00DB0E3A"/>
    <w:rsid w:val="00DB0F3C"/>
    <w:rsid w:val="00DB182A"/>
    <w:rsid w:val="00DB207C"/>
    <w:rsid w:val="00DB222B"/>
    <w:rsid w:val="00DB242C"/>
    <w:rsid w:val="00DB27C0"/>
    <w:rsid w:val="00DB2952"/>
    <w:rsid w:val="00DB3CED"/>
    <w:rsid w:val="00DB413E"/>
    <w:rsid w:val="00DB48CD"/>
    <w:rsid w:val="00DB4A2E"/>
    <w:rsid w:val="00DB4E0D"/>
    <w:rsid w:val="00DB57AB"/>
    <w:rsid w:val="00DB6661"/>
    <w:rsid w:val="00DB694E"/>
    <w:rsid w:val="00DB6A1B"/>
    <w:rsid w:val="00DB7587"/>
    <w:rsid w:val="00DB7956"/>
    <w:rsid w:val="00DB7A6B"/>
    <w:rsid w:val="00DB7E4C"/>
    <w:rsid w:val="00DC0193"/>
    <w:rsid w:val="00DC08E0"/>
    <w:rsid w:val="00DC0E52"/>
    <w:rsid w:val="00DC13EE"/>
    <w:rsid w:val="00DC1B0F"/>
    <w:rsid w:val="00DC2C30"/>
    <w:rsid w:val="00DC3215"/>
    <w:rsid w:val="00DC3676"/>
    <w:rsid w:val="00DC36D2"/>
    <w:rsid w:val="00DC3BCA"/>
    <w:rsid w:val="00DC3D76"/>
    <w:rsid w:val="00DC5584"/>
    <w:rsid w:val="00DC5677"/>
    <w:rsid w:val="00DC585E"/>
    <w:rsid w:val="00DC5A17"/>
    <w:rsid w:val="00DC5B2E"/>
    <w:rsid w:val="00DC5BD1"/>
    <w:rsid w:val="00DC5D8B"/>
    <w:rsid w:val="00DC5F06"/>
    <w:rsid w:val="00DC60D2"/>
    <w:rsid w:val="00DC646E"/>
    <w:rsid w:val="00DC665C"/>
    <w:rsid w:val="00DC6802"/>
    <w:rsid w:val="00DC6E04"/>
    <w:rsid w:val="00DC77EE"/>
    <w:rsid w:val="00DC7991"/>
    <w:rsid w:val="00DC7FA4"/>
    <w:rsid w:val="00DD0622"/>
    <w:rsid w:val="00DD06C7"/>
    <w:rsid w:val="00DD06CD"/>
    <w:rsid w:val="00DD0DB0"/>
    <w:rsid w:val="00DD1083"/>
    <w:rsid w:val="00DD1681"/>
    <w:rsid w:val="00DD1A0C"/>
    <w:rsid w:val="00DD1B28"/>
    <w:rsid w:val="00DD1CEC"/>
    <w:rsid w:val="00DD1F04"/>
    <w:rsid w:val="00DD2061"/>
    <w:rsid w:val="00DD26EA"/>
    <w:rsid w:val="00DD2A56"/>
    <w:rsid w:val="00DD3072"/>
    <w:rsid w:val="00DD308D"/>
    <w:rsid w:val="00DD39D1"/>
    <w:rsid w:val="00DD442F"/>
    <w:rsid w:val="00DD4455"/>
    <w:rsid w:val="00DD4749"/>
    <w:rsid w:val="00DD48B9"/>
    <w:rsid w:val="00DD49CD"/>
    <w:rsid w:val="00DD4B20"/>
    <w:rsid w:val="00DD5841"/>
    <w:rsid w:val="00DD6265"/>
    <w:rsid w:val="00DD64F0"/>
    <w:rsid w:val="00DD6F0F"/>
    <w:rsid w:val="00DD738C"/>
    <w:rsid w:val="00DE0424"/>
    <w:rsid w:val="00DE04C8"/>
    <w:rsid w:val="00DE0EAE"/>
    <w:rsid w:val="00DE1115"/>
    <w:rsid w:val="00DE1236"/>
    <w:rsid w:val="00DE12BF"/>
    <w:rsid w:val="00DE187E"/>
    <w:rsid w:val="00DE18CD"/>
    <w:rsid w:val="00DE33A6"/>
    <w:rsid w:val="00DE35E7"/>
    <w:rsid w:val="00DE422E"/>
    <w:rsid w:val="00DE47F2"/>
    <w:rsid w:val="00DE4C79"/>
    <w:rsid w:val="00DE52CB"/>
    <w:rsid w:val="00DE5490"/>
    <w:rsid w:val="00DE59A4"/>
    <w:rsid w:val="00DE5BFE"/>
    <w:rsid w:val="00DE62E8"/>
    <w:rsid w:val="00DE635B"/>
    <w:rsid w:val="00DE682F"/>
    <w:rsid w:val="00DE698D"/>
    <w:rsid w:val="00DE6BCF"/>
    <w:rsid w:val="00DE79D4"/>
    <w:rsid w:val="00DE7A8B"/>
    <w:rsid w:val="00DE7B82"/>
    <w:rsid w:val="00DE7D3E"/>
    <w:rsid w:val="00DF06D4"/>
    <w:rsid w:val="00DF09B4"/>
    <w:rsid w:val="00DF1954"/>
    <w:rsid w:val="00DF2A50"/>
    <w:rsid w:val="00DF344E"/>
    <w:rsid w:val="00DF348A"/>
    <w:rsid w:val="00DF38B8"/>
    <w:rsid w:val="00DF3954"/>
    <w:rsid w:val="00DF3A64"/>
    <w:rsid w:val="00DF3E52"/>
    <w:rsid w:val="00DF40FB"/>
    <w:rsid w:val="00DF413D"/>
    <w:rsid w:val="00DF418F"/>
    <w:rsid w:val="00DF506A"/>
    <w:rsid w:val="00DF5198"/>
    <w:rsid w:val="00DF5209"/>
    <w:rsid w:val="00DF5B40"/>
    <w:rsid w:val="00DF6165"/>
    <w:rsid w:val="00DF61DE"/>
    <w:rsid w:val="00DF62F5"/>
    <w:rsid w:val="00DF6300"/>
    <w:rsid w:val="00DF66D2"/>
    <w:rsid w:val="00DF6B55"/>
    <w:rsid w:val="00DF7162"/>
    <w:rsid w:val="00DF7C18"/>
    <w:rsid w:val="00E00792"/>
    <w:rsid w:val="00E0099B"/>
    <w:rsid w:val="00E00A99"/>
    <w:rsid w:val="00E01399"/>
    <w:rsid w:val="00E0139C"/>
    <w:rsid w:val="00E01DDA"/>
    <w:rsid w:val="00E02035"/>
    <w:rsid w:val="00E025AA"/>
    <w:rsid w:val="00E0296A"/>
    <w:rsid w:val="00E02A5B"/>
    <w:rsid w:val="00E02DA3"/>
    <w:rsid w:val="00E02EF3"/>
    <w:rsid w:val="00E03C65"/>
    <w:rsid w:val="00E04083"/>
    <w:rsid w:val="00E045BD"/>
    <w:rsid w:val="00E04B44"/>
    <w:rsid w:val="00E04E99"/>
    <w:rsid w:val="00E05947"/>
    <w:rsid w:val="00E071B3"/>
    <w:rsid w:val="00E07A0E"/>
    <w:rsid w:val="00E07FA3"/>
    <w:rsid w:val="00E102D1"/>
    <w:rsid w:val="00E105EB"/>
    <w:rsid w:val="00E11473"/>
    <w:rsid w:val="00E11662"/>
    <w:rsid w:val="00E11705"/>
    <w:rsid w:val="00E1199A"/>
    <w:rsid w:val="00E11D18"/>
    <w:rsid w:val="00E11F83"/>
    <w:rsid w:val="00E123AC"/>
    <w:rsid w:val="00E12452"/>
    <w:rsid w:val="00E133F1"/>
    <w:rsid w:val="00E1412D"/>
    <w:rsid w:val="00E14214"/>
    <w:rsid w:val="00E1434D"/>
    <w:rsid w:val="00E143E2"/>
    <w:rsid w:val="00E14C9A"/>
    <w:rsid w:val="00E14CE6"/>
    <w:rsid w:val="00E15126"/>
    <w:rsid w:val="00E152EC"/>
    <w:rsid w:val="00E1579E"/>
    <w:rsid w:val="00E1584D"/>
    <w:rsid w:val="00E1589C"/>
    <w:rsid w:val="00E15AEC"/>
    <w:rsid w:val="00E1647A"/>
    <w:rsid w:val="00E16597"/>
    <w:rsid w:val="00E16F01"/>
    <w:rsid w:val="00E170E2"/>
    <w:rsid w:val="00E179F6"/>
    <w:rsid w:val="00E17B55"/>
    <w:rsid w:val="00E17D0A"/>
    <w:rsid w:val="00E17F4D"/>
    <w:rsid w:val="00E20D3E"/>
    <w:rsid w:val="00E21835"/>
    <w:rsid w:val="00E21DAA"/>
    <w:rsid w:val="00E21E68"/>
    <w:rsid w:val="00E22109"/>
    <w:rsid w:val="00E22196"/>
    <w:rsid w:val="00E22398"/>
    <w:rsid w:val="00E225E3"/>
    <w:rsid w:val="00E22A06"/>
    <w:rsid w:val="00E23079"/>
    <w:rsid w:val="00E2380E"/>
    <w:rsid w:val="00E2386A"/>
    <w:rsid w:val="00E23FCA"/>
    <w:rsid w:val="00E24125"/>
    <w:rsid w:val="00E24321"/>
    <w:rsid w:val="00E24D13"/>
    <w:rsid w:val="00E24F3F"/>
    <w:rsid w:val="00E25241"/>
    <w:rsid w:val="00E252A2"/>
    <w:rsid w:val="00E263D3"/>
    <w:rsid w:val="00E26A26"/>
    <w:rsid w:val="00E26C9A"/>
    <w:rsid w:val="00E26E5D"/>
    <w:rsid w:val="00E27135"/>
    <w:rsid w:val="00E27179"/>
    <w:rsid w:val="00E27A59"/>
    <w:rsid w:val="00E27A80"/>
    <w:rsid w:val="00E27E8A"/>
    <w:rsid w:val="00E3009A"/>
    <w:rsid w:val="00E3018E"/>
    <w:rsid w:val="00E309FD"/>
    <w:rsid w:val="00E31281"/>
    <w:rsid w:val="00E31AE3"/>
    <w:rsid w:val="00E31CBC"/>
    <w:rsid w:val="00E31E86"/>
    <w:rsid w:val="00E32306"/>
    <w:rsid w:val="00E32D12"/>
    <w:rsid w:val="00E34343"/>
    <w:rsid w:val="00E34DE5"/>
    <w:rsid w:val="00E3560E"/>
    <w:rsid w:val="00E35644"/>
    <w:rsid w:val="00E3690A"/>
    <w:rsid w:val="00E36D92"/>
    <w:rsid w:val="00E370DA"/>
    <w:rsid w:val="00E3722D"/>
    <w:rsid w:val="00E374BE"/>
    <w:rsid w:val="00E37709"/>
    <w:rsid w:val="00E37809"/>
    <w:rsid w:val="00E378ED"/>
    <w:rsid w:val="00E37C80"/>
    <w:rsid w:val="00E40173"/>
    <w:rsid w:val="00E408B0"/>
    <w:rsid w:val="00E40F88"/>
    <w:rsid w:val="00E413AD"/>
    <w:rsid w:val="00E41BDE"/>
    <w:rsid w:val="00E425F8"/>
    <w:rsid w:val="00E42844"/>
    <w:rsid w:val="00E428FF"/>
    <w:rsid w:val="00E42D47"/>
    <w:rsid w:val="00E430C1"/>
    <w:rsid w:val="00E43143"/>
    <w:rsid w:val="00E43664"/>
    <w:rsid w:val="00E4381F"/>
    <w:rsid w:val="00E44E1F"/>
    <w:rsid w:val="00E45DFE"/>
    <w:rsid w:val="00E464BD"/>
    <w:rsid w:val="00E46C7B"/>
    <w:rsid w:val="00E4712E"/>
    <w:rsid w:val="00E479E3"/>
    <w:rsid w:val="00E50098"/>
    <w:rsid w:val="00E5037A"/>
    <w:rsid w:val="00E510FD"/>
    <w:rsid w:val="00E5202D"/>
    <w:rsid w:val="00E5265A"/>
    <w:rsid w:val="00E52D90"/>
    <w:rsid w:val="00E532FF"/>
    <w:rsid w:val="00E534ED"/>
    <w:rsid w:val="00E53548"/>
    <w:rsid w:val="00E53804"/>
    <w:rsid w:val="00E53A8B"/>
    <w:rsid w:val="00E540F7"/>
    <w:rsid w:val="00E54238"/>
    <w:rsid w:val="00E54D1C"/>
    <w:rsid w:val="00E54F46"/>
    <w:rsid w:val="00E55497"/>
    <w:rsid w:val="00E5694E"/>
    <w:rsid w:val="00E56A20"/>
    <w:rsid w:val="00E574EF"/>
    <w:rsid w:val="00E57938"/>
    <w:rsid w:val="00E57D0F"/>
    <w:rsid w:val="00E57F2B"/>
    <w:rsid w:val="00E57F51"/>
    <w:rsid w:val="00E60A60"/>
    <w:rsid w:val="00E60B45"/>
    <w:rsid w:val="00E61471"/>
    <w:rsid w:val="00E619FA"/>
    <w:rsid w:val="00E61DAB"/>
    <w:rsid w:val="00E623FF"/>
    <w:rsid w:val="00E628A3"/>
    <w:rsid w:val="00E63317"/>
    <w:rsid w:val="00E63587"/>
    <w:rsid w:val="00E63591"/>
    <w:rsid w:val="00E6388F"/>
    <w:rsid w:val="00E63947"/>
    <w:rsid w:val="00E63C76"/>
    <w:rsid w:val="00E649EC"/>
    <w:rsid w:val="00E65440"/>
    <w:rsid w:val="00E65A44"/>
    <w:rsid w:val="00E664B2"/>
    <w:rsid w:val="00E672EC"/>
    <w:rsid w:val="00E6732A"/>
    <w:rsid w:val="00E702B5"/>
    <w:rsid w:val="00E708C7"/>
    <w:rsid w:val="00E70F38"/>
    <w:rsid w:val="00E70FED"/>
    <w:rsid w:val="00E710A5"/>
    <w:rsid w:val="00E71B4C"/>
    <w:rsid w:val="00E71F7F"/>
    <w:rsid w:val="00E720D2"/>
    <w:rsid w:val="00E7285A"/>
    <w:rsid w:val="00E73315"/>
    <w:rsid w:val="00E736EB"/>
    <w:rsid w:val="00E73B91"/>
    <w:rsid w:val="00E73BC3"/>
    <w:rsid w:val="00E73BF2"/>
    <w:rsid w:val="00E73CC2"/>
    <w:rsid w:val="00E73D50"/>
    <w:rsid w:val="00E73E80"/>
    <w:rsid w:val="00E743FF"/>
    <w:rsid w:val="00E7474B"/>
    <w:rsid w:val="00E74857"/>
    <w:rsid w:val="00E74B9D"/>
    <w:rsid w:val="00E74D6B"/>
    <w:rsid w:val="00E752A6"/>
    <w:rsid w:val="00E7589F"/>
    <w:rsid w:val="00E75BEC"/>
    <w:rsid w:val="00E75C0E"/>
    <w:rsid w:val="00E7617C"/>
    <w:rsid w:val="00E765C7"/>
    <w:rsid w:val="00E76771"/>
    <w:rsid w:val="00E779FB"/>
    <w:rsid w:val="00E77A2A"/>
    <w:rsid w:val="00E77E3B"/>
    <w:rsid w:val="00E80659"/>
    <w:rsid w:val="00E80E0F"/>
    <w:rsid w:val="00E817BE"/>
    <w:rsid w:val="00E81D4D"/>
    <w:rsid w:val="00E821A7"/>
    <w:rsid w:val="00E822E2"/>
    <w:rsid w:val="00E8256F"/>
    <w:rsid w:val="00E8292E"/>
    <w:rsid w:val="00E835F3"/>
    <w:rsid w:val="00E84A31"/>
    <w:rsid w:val="00E84BE4"/>
    <w:rsid w:val="00E84F00"/>
    <w:rsid w:val="00E85AEA"/>
    <w:rsid w:val="00E86432"/>
    <w:rsid w:val="00E86567"/>
    <w:rsid w:val="00E865DF"/>
    <w:rsid w:val="00E86CAF"/>
    <w:rsid w:val="00E86F7D"/>
    <w:rsid w:val="00E87966"/>
    <w:rsid w:val="00E87BEC"/>
    <w:rsid w:val="00E9034F"/>
    <w:rsid w:val="00E90E9C"/>
    <w:rsid w:val="00E9249C"/>
    <w:rsid w:val="00E92569"/>
    <w:rsid w:val="00E9397D"/>
    <w:rsid w:val="00E93B5C"/>
    <w:rsid w:val="00E93E12"/>
    <w:rsid w:val="00E93F8C"/>
    <w:rsid w:val="00E94791"/>
    <w:rsid w:val="00E94B60"/>
    <w:rsid w:val="00E95882"/>
    <w:rsid w:val="00E95DC0"/>
    <w:rsid w:val="00E95EAF"/>
    <w:rsid w:val="00E96E58"/>
    <w:rsid w:val="00E97FB2"/>
    <w:rsid w:val="00EA0278"/>
    <w:rsid w:val="00EA0293"/>
    <w:rsid w:val="00EA1045"/>
    <w:rsid w:val="00EA1B05"/>
    <w:rsid w:val="00EA1BF1"/>
    <w:rsid w:val="00EA1CD1"/>
    <w:rsid w:val="00EA1EF6"/>
    <w:rsid w:val="00EA2917"/>
    <w:rsid w:val="00EA2E29"/>
    <w:rsid w:val="00EA3108"/>
    <w:rsid w:val="00EA33B9"/>
    <w:rsid w:val="00EA37AA"/>
    <w:rsid w:val="00EA3AC7"/>
    <w:rsid w:val="00EA4B77"/>
    <w:rsid w:val="00EA4C0D"/>
    <w:rsid w:val="00EA4E07"/>
    <w:rsid w:val="00EA60E0"/>
    <w:rsid w:val="00EA62FE"/>
    <w:rsid w:val="00EA684D"/>
    <w:rsid w:val="00EA7E0C"/>
    <w:rsid w:val="00EB1024"/>
    <w:rsid w:val="00EB1221"/>
    <w:rsid w:val="00EB2235"/>
    <w:rsid w:val="00EB23CB"/>
    <w:rsid w:val="00EB2508"/>
    <w:rsid w:val="00EB25D7"/>
    <w:rsid w:val="00EB25FD"/>
    <w:rsid w:val="00EB3103"/>
    <w:rsid w:val="00EB31E4"/>
    <w:rsid w:val="00EB3227"/>
    <w:rsid w:val="00EB3A4E"/>
    <w:rsid w:val="00EB3A60"/>
    <w:rsid w:val="00EB442C"/>
    <w:rsid w:val="00EB4FCA"/>
    <w:rsid w:val="00EB5328"/>
    <w:rsid w:val="00EB5469"/>
    <w:rsid w:val="00EB6162"/>
    <w:rsid w:val="00EB6708"/>
    <w:rsid w:val="00EB7327"/>
    <w:rsid w:val="00EC0587"/>
    <w:rsid w:val="00EC1170"/>
    <w:rsid w:val="00EC11C1"/>
    <w:rsid w:val="00EC1763"/>
    <w:rsid w:val="00EC1B6A"/>
    <w:rsid w:val="00EC1B85"/>
    <w:rsid w:val="00EC1BD5"/>
    <w:rsid w:val="00EC2749"/>
    <w:rsid w:val="00EC2925"/>
    <w:rsid w:val="00EC2E43"/>
    <w:rsid w:val="00EC36C3"/>
    <w:rsid w:val="00EC37E4"/>
    <w:rsid w:val="00EC3A5A"/>
    <w:rsid w:val="00EC40CC"/>
    <w:rsid w:val="00EC4552"/>
    <w:rsid w:val="00EC4E56"/>
    <w:rsid w:val="00EC520E"/>
    <w:rsid w:val="00EC587A"/>
    <w:rsid w:val="00EC6375"/>
    <w:rsid w:val="00EC68FD"/>
    <w:rsid w:val="00EC6EAE"/>
    <w:rsid w:val="00EC6FB7"/>
    <w:rsid w:val="00EC7A01"/>
    <w:rsid w:val="00ED0C76"/>
    <w:rsid w:val="00ED0F99"/>
    <w:rsid w:val="00ED16A2"/>
    <w:rsid w:val="00ED2C55"/>
    <w:rsid w:val="00ED371B"/>
    <w:rsid w:val="00ED3943"/>
    <w:rsid w:val="00ED40EE"/>
    <w:rsid w:val="00ED4EDF"/>
    <w:rsid w:val="00ED5A16"/>
    <w:rsid w:val="00ED6148"/>
    <w:rsid w:val="00ED64E5"/>
    <w:rsid w:val="00ED683D"/>
    <w:rsid w:val="00ED6885"/>
    <w:rsid w:val="00ED73C6"/>
    <w:rsid w:val="00ED7FF3"/>
    <w:rsid w:val="00EE017A"/>
    <w:rsid w:val="00EE0A29"/>
    <w:rsid w:val="00EE1D22"/>
    <w:rsid w:val="00EE1DD6"/>
    <w:rsid w:val="00EE288D"/>
    <w:rsid w:val="00EE2CBA"/>
    <w:rsid w:val="00EE2DB8"/>
    <w:rsid w:val="00EE331A"/>
    <w:rsid w:val="00EE3B10"/>
    <w:rsid w:val="00EE3E05"/>
    <w:rsid w:val="00EE425E"/>
    <w:rsid w:val="00EE47C0"/>
    <w:rsid w:val="00EE4E7F"/>
    <w:rsid w:val="00EE5193"/>
    <w:rsid w:val="00EE5287"/>
    <w:rsid w:val="00EE53D5"/>
    <w:rsid w:val="00EE56DA"/>
    <w:rsid w:val="00EE58C5"/>
    <w:rsid w:val="00EE5EDC"/>
    <w:rsid w:val="00EE5EFE"/>
    <w:rsid w:val="00EE7049"/>
    <w:rsid w:val="00EE72CB"/>
    <w:rsid w:val="00EE76C6"/>
    <w:rsid w:val="00EE7BA1"/>
    <w:rsid w:val="00EE7BD5"/>
    <w:rsid w:val="00EE7BFB"/>
    <w:rsid w:val="00EE7DB2"/>
    <w:rsid w:val="00EF0117"/>
    <w:rsid w:val="00EF075D"/>
    <w:rsid w:val="00EF0900"/>
    <w:rsid w:val="00EF1046"/>
    <w:rsid w:val="00EF118B"/>
    <w:rsid w:val="00EF1935"/>
    <w:rsid w:val="00EF1C18"/>
    <w:rsid w:val="00EF1D2C"/>
    <w:rsid w:val="00EF2D23"/>
    <w:rsid w:val="00EF40BB"/>
    <w:rsid w:val="00EF4B73"/>
    <w:rsid w:val="00EF59B9"/>
    <w:rsid w:val="00EF640B"/>
    <w:rsid w:val="00EF67A2"/>
    <w:rsid w:val="00EF67EC"/>
    <w:rsid w:val="00EF6D84"/>
    <w:rsid w:val="00EF7BB8"/>
    <w:rsid w:val="00EF7C0C"/>
    <w:rsid w:val="00F0022C"/>
    <w:rsid w:val="00F0094C"/>
    <w:rsid w:val="00F00A74"/>
    <w:rsid w:val="00F00E46"/>
    <w:rsid w:val="00F028EA"/>
    <w:rsid w:val="00F0335D"/>
    <w:rsid w:val="00F034CE"/>
    <w:rsid w:val="00F03861"/>
    <w:rsid w:val="00F045CE"/>
    <w:rsid w:val="00F05245"/>
    <w:rsid w:val="00F05C40"/>
    <w:rsid w:val="00F05F0E"/>
    <w:rsid w:val="00F06FC0"/>
    <w:rsid w:val="00F07347"/>
    <w:rsid w:val="00F07353"/>
    <w:rsid w:val="00F07CC5"/>
    <w:rsid w:val="00F11D39"/>
    <w:rsid w:val="00F12395"/>
    <w:rsid w:val="00F12F6D"/>
    <w:rsid w:val="00F1399A"/>
    <w:rsid w:val="00F14038"/>
    <w:rsid w:val="00F1416A"/>
    <w:rsid w:val="00F1446B"/>
    <w:rsid w:val="00F1458A"/>
    <w:rsid w:val="00F1543E"/>
    <w:rsid w:val="00F15E05"/>
    <w:rsid w:val="00F15FDE"/>
    <w:rsid w:val="00F15FF3"/>
    <w:rsid w:val="00F167C3"/>
    <w:rsid w:val="00F16B30"/>
    <w:rsid w:val="00F16E68"/>
    <w:rsid w:val="00F179A2"/>
    <w:rsid w:val="00F20198"/>
    <w:rsid w:val="00F20452"/>
    <w:rsid w:val="00F20EDC"/>
    <w:rsid w:val="00F212C9"/>
    <w:rsid w:val="00F219E1"/>
    <w:rsid w:val="00F21A3F"/>
    <w:rsid w:val="00F21EAB"/>
    <w:rsid w:val="00F21FBF"/>
    <w:rsid w:val="00F2213D"/>
    <w:rsid w:val="00F221AB"/>
    <w:rsid w:val="00F221CE"/>
    <w:rsid w:val="00F22424"/>
    <w:rsid w:val="00F22457"/>
    <w:rsid w:val="00F22837"/>
    <w:rsid w:val="00F22A3D"/>
    <w:rsid w:val="00F22DEE"/>
    <w:rsid w:val="00F23C4B"/>
    <w:rsid w:val="00F23CCA"/>
    <w:rsid w:val="00F23CCB"/>
    <w:rsid w:val="00F23D27"/>
    <w:rsid w:val="00F248BE"/>
    <w:rsid w:val="00F24921"/>
    <w:rsid w:val="00F24962"/>
    <w:rsid w:val="00F24A45"/>
    <w:rsid w:val="00F251FF"/>
    <w:rsid w:val="00F255DC"/>
    <w:rsid w:val="00F257C9"/>
    <w:rsid w:val="00F25B6B"/>
    <w:rsid w:val="00F26297"/>
    <w:rsid w:val="00F26B67"/>
    <w:rsid w:val="00F271AB"/>
    <w:rsid w:val="00F2723A"/>
    <w:rsid w:val="00F27339"/>
    <w:rsid w:val="00F31832"/>
    <w:rsid w:val="00F31842"/>
    <w:rsid w:val="00F32811"/>
    <w:rsid w:val="00F33F15"/>
    <w:rsid w:val="00F34FA6"/>
    <w:rsid w:val="00F35740"/>
    <w:rsid w:val="00F35E7E"/>
    <w:rsid w:val="00F35F47"/>
    <w:rsid w:val="00F362EB"/>
    <w:rsid w:val="00F36E98"/>
    <w:rsid w:val="00F36F23"/>
    <w:rsid w:val="00F37292"/>
    <w:rsid w:val="00F372E3"/>
    <w:rsid w:val="00F373DB"/>
    <w:rsid w:val="00F37AAD"/>
    <w:rsid w:val="00F37F99"/>
    <w:rsid w:val="00F404B0"/>
    <w:rsid w:val="00F40A26"/>
    <w:rsid w:val="00F40C49"/>
    <w:rsid w:val="00F41306"/>
    <w:rsid w:val="00F41F15"/>
    <w:rsid w:val="00F42256"/>
    <w:rsid w:val="00F4230B"/>
    <w:rsid w:val="00F424A6"/>
    <w:rsid w:val="00F42AE4"/>
    <w:rsid w:val="00F42CA0"/>
    <w:rsid w:val="00F42CDE"/>
    <w:rsid w:val="00F436D7"/>
    <w:rsid w:val="00F4373C"/>
    <w:rsid w:val="00F43C73"/>
    <w:rsid w:val="00F43C96"/>
    <w:rsid w:val="00F44CE1"/>
    <w:rsid w:val="00F44EF3"/>
    <w:rsid w:val="00F45149"/>
    <w:rsid w:val="00F45878"/>
    <w:rsid w:val="00F45B5C"/>
    <w:rsid w:val="00F45E88"/>
    <w:rsid w:val="00F45F14"/>
    <w:rsid w:val="00F46085"/>
    <w:rsid w:val="00F46348"/>
    <w:rsid w:val="00F471AD"/>
    <w:rsid w:val="00F47817"/>
    <w:rsid w:val="00F47BE6"/>
    <w:rsid w:val="00F503C9"/>
    <w:rsid w:val="00F50858"/>
    <w:rsid w:val="00F50B88"/>
    <w:rsid w:val="00F5102F"/>
    <w:rsid w:val="00F51CD7"/>
    <w:rsid w:val="00F52713"/>
    <w:rsid w:val="00F529AE"/>
    <w:rsid w:val="00F52AB8"/>
    <w:rsid w:val="00F53042"/>
    <w:rsid w:val="00F5443E"/>
    <w:rsid w:val="00F54A66"/>
    <w:rsid w:val="00F54C52"/>
    <w:rsid w:val="00F55239"/>
    <w:rsid w:val="00F55394"/>
    <w:rsid w:val="00F556A9"/>
    <w:rsid w:val="00F55715"/>
    <w:rsid w:val="00F557DE"/>
    <w:rsid w:val="00F565DC"/>
    <w:rsid w:val="00F56797"/>
    <w:rsid w:val="00F56D0B"/>
    <w:rsid w:val="00F571E7"/>
    <w:rsid w:val="00F57644"/>
    <w:rsid w:val="00F60E06"/>
    <w:rsid w:val="00F60F10"/>
    <w:rsid w:val="00F60FB1"/>
    <w:rsid w:val="00F61057"/>
    <w:rsid w:val="00F6130E"/>
    <w:rsid w:val="00F61441"/>
    <w:rsid w:val="00F615F1"/>
    <w:rsid w:val="00F61A9F"/>
    <w:rsid w:val="00F61AD3"/>
    <w:rsid w:val="00F61CB6"/>
    <w:rsid w:val="00F622D2"/>
    <w:rsid w:val="00F6276E"/>
    <w:rsid w:val="00F635B8"/>
    <w:rsid w:val="00F63AB0"/>
    <w:rsid w:val="00F652AE"/>
    <w:rsid w:val="00F652B2"/>
    <w:rsid w:val="00F6563A"/>
    <w:rsid w:val="00F65A9C"/>
    <w:rsid w:val="00F65D82"/>
    <w:rsid w:val="00F65DEF"/>
    <w:rsid w:val="00F66378"/>
    <w:rsid w:val="00F66447"/>
    <w:rsid w:val="00F66448"/>
    <w:rsid w:val="00F664C9"/>
    <w:rsid w:val="00F66E36"/>
    <w:rsid w:val="00F70667"/>
    <w:rsid w:val="00F70BB3"/>
    <w:rsid w:val="00F70ED2"/>
    <w:rsid w:val="00F710A0"/>
    <w:rsid w:val="00F71959"/>
    <w:rsid w:val="00F719B0"/>
    <w:rsid w:val="00F71A7B"/>
    <w:rsid w:val="00F72C2E"/>
    <w:rsid w:val="00F73039"/>
    <w:rsid w:val="00F734D7"/>
    <w:rsid w:val="00F7361A"/>
    <w:rsid w:val="00F739C6"/>
    <w:rsid w:val="00F73C45"/>
    <w:rsid w:val="00F73F35"/>
    <w:rsid w:val="00F76233"/>
    <w:rsid w:val="00F763CD"/>
    <w:rsid w:val="00F766FC"/>
    <w:rsid w:val="00F775F4"/>
    <w:rsid w:val="00F77EE3"/>
    <w:rsid w:val="00F7BA55"/>
    <w:rsid w:val="00F8003C"/>
    <w:rsid w:val="00F80110"/>
    <w:rsid w:val="00F8042C"/>
    <w:rsid w:val="00F804DA"/>
    <w:rsid w:val="00F80592"/>
    <w:rsid w:val="00F80A23"/>
    <w:rsid w:val="00F80B7E"/>
    <w:rsid w:val="00F811F4"/>
    <w:rsid w:val="00F8139C"/>
    <w:rsid w:val="00F818FC"/>
    <w:rsid w:val="00F81DD5"/>
    <w:rsid w:val="00F8201C"/>
    <w:rsid w:val="00F821FF"/>
    <w:rsid w:val="00F82474"/>
    <w:rsid w:val="00F82F5B"/>
    <w:rsid w:val="00F833E9"/>
    <w:rsid w:val="00F84014"/>
    <w:rsid w:val="00F8507D"/>
    <w:rsid w:val="00F85C08"/>
    <w:rsid w:val="00F86A9A"/>
    <w:rsid w:val="00F875AB"/>
    <w:rsid w:val="00F87C29"/>
    <w:rsid w:val="00F9023D"/>
    <w:rsid w:val="00F90469"/>
    <w:rsid w:val="00F90B1B"/>
    <w:rsid w:val="00F90FE5"/>
    <w:rsid w:val="00F9108E"/>
    <w:rsid w:val="00F91E45"/>
    <w:rsid w:val="00F92014"/>
    <w:rsid w:val="00F923F0"/>
    <w:rsid w:val="00F926A1"/>
    <w:rsid w:val="00F93A74"/>
    <w:rsid w:val="00F94141"/>
    <w:rsid w:val="00F94158"/>
    <w:rsid w:val="00F94597"/>
    <w:rsid w:val="00F94AB7"/>
    <w:rsid w:val="00F94EE6"/>
    <w:rsid w:val="00F951B0"/>
    <w:rsid w:val="00F9561B"/>
    <w:rsid w:val="00F95C2B"/>
    <w:rsid w:val="00F96149"/>
    <w:rsid w:val="00F96991"/>
    <w:rsid w:val="00F9721F"/>
    <w:rsid w:val="00F97418"/>
    <w:rsid w:val="00F97711"/>
    <w:rsid w:val="00F97E0A"/>
    <w:rsid w:val="00FA0A5F"/>
    <w:rsid w:val="00FA0A7E"/>
    <w:rsid w:val="00FA0B0E"/>
    <w:rsid w:val="00FA0B94"/>
    <w:rsid w:val="00FA1265"/>
    <w:rsid w:val="00FA1B48"/>
    <w:rsid w:val="00FA1C03"/>
    <w:rsid w:val="00FA20C7"/>
    <w:rsid w:val="00FA27AC"/>
    <w:rsid w:val="00FA2A52"/>
    <w:rsid w:val="00FA302A"/>
    <w:rsid w:val="00FA346B"/>
    <w:rsid w:val="00FA3788"/>
    <w:rsid w:val="00FA38B8"/>
    <w:rsid w:val="00FA3ED8"/>
    <w:rsid w:val="00FA4C80"/>
    <w:rsid w:val="00FA4D0B"/>
    <w:rsid w:val="00FA4D46"/>
    <w:rsid w:val="00FA4EB6"/>
    <w:rsid w:val="00FA54B7"/>
    <w:rsid w:val="00FA590B"/>
    <w:rsid w:val="00FA598E"/>
    <w:rsid w:val="00FA5B22"/>
    <w:rsid w:val="00FA67EA"/>
    <w:rsid w:val="00FA6874"/>
    <w:rsid w:val="00FA69F6"/>
    <w:rsid w:val="00FA6DA0"/>
    <w:rsid w:val="00FA7349"/>
    <w:rsid w:val="00FA734D"/>
    <w:rsid w:val="00FB0E1A"/>
    <w:rsid w:val="00FB1160"/>
    <w:rsid w:val="00FB1950"/>
    <w:rsid w:val="00FB1B13"/>
    <w:rsid w:val="00FB1E11"/>
    <w:rsid w:val="00FB2441"/>
    <w:rsid w:val="00FB280F"/>
    <w:rsid w:val="00FB2A0F"/>
    <w:rsid w:val="00FB2AD0"/>
    <w:rsid w:val="00FB3090"/>
    <w:rsid w:val="00FB386C"/>
    <w:rsid w:val="00FB39CA"/>
    <w:rsid w:val="00FB3F51"/>
    <w:rsid w:val="00FB404E"/>
    <w:rsid w:val="00FB45A5"/>
    <w:rsid w:val="00FB45C9"/>
    <w:rsid w:val="00FB4936"/>
    <w:rsid w:val="00FB5005"/>
    <w:rsid w:val="00FB5172"/>
    <w:rsid w:val="00FB597B"/>
    <w:rsid w:val="00FB5F51"/>
    <w:rsid w:val="00FB6C30"/>
    <w:rsid w:val="00FB7345"/>
    <w:rsid w:val="00FC3000"/>
    <w:rsid w:val="00FC30F8"/>
    <w:rsid w:val="00FC33F2"/>
    <w:rsid w:val="00FC358C"/>
    <w:rsid w:val="00FC3BC4"/>
    <w:rsid w:val="00FC3CB2"/>
    <w:rsid w:val="00FC3CDE"/>
    <w:rsid w:val="00FC47B2"/>
    <w:rsid w:val="00FC4EE9"/>
    <w:rsid w:val="00FC58DB"/>
    <w:rsid w:val="00FC733B"/>
    <w:rsid w:val="00FC7AE5"/>
    <w:rsid w:val="00FD0BA2"/>
    <w:rsid w:val="00FD1469"/>
    <w:rsid w:val="00FD1760"/>
    <w:rsid w:val="00FD1A9F"/>
    <w:rsid w:val="00FD2CAF"/>
    <w:rsid w:val="00FD3060"/>
    <w:rsid w:val="00FD3396"/>
    <w:rsid w:val="00FD3759"/>
    <w:rsid w:val="00FD3E7B"/>
    <w:rsid w:val="00FD4308"/>
    <w:rsid w:val="00FD50DE"/>
    <w:rsid w:val="00FD5BE5"/>
    <w:rsid w:val="00FD65A2"/>
    <w:rsid w:val="00FD6747"/>
    <w:rsid w:val="00FD6B9D"/>
    <w:rsid w:val="00FD754A"/>
    <w:rsid w:val="00FD7B34"/>
    <w:rsid w:val="00FD7F02"/>
    <w:rsid w:val="00FD7F8A"/>
    <w:rsid w:val="00FE018E"/>
    <w:rsid w:val="00FE054D"/>
    <w:rsid w:val="00FE05EC"/>
    <w:rsid w:val="00FE09A0"/>
    <w:rsid w:val="00FE0A79"/>
    <w:rsid w:val="00FE0C87"/>
    <w:rsid w:val="00FE0DEC"/>
    <w:rsid w:val="00FE1160"/>
    <w:rsid w:val="00FE1374"/>
    <w:rsid w:val="00FE1797"/>
    <w:rsid w:val="00FE1AF2"/>
    <w:rsid w:val="00FE253E"/>
    <w:rsid w:val="00FE280C"/>
    <w:rsid w:val="00FE384D"/>
    <w:rsid w:val="00FE3D6F"/>
    <w:rsid w:val="00FE42A8"/>
    <w:rsid w:val="00FE4586"/>
    <w:rsid w:val="00FE4939"/>
    <w:rsid w:val="00FE4EE5"/>
    <w:rsid w:val="00FE4FB3"/>
    <w:rsid w:val="00FE5076"/>
    <w:rsid w:val="00FE5431"/>
    <w:rsid w:val="00FE5F89"/>
    <w:rsid w:val="00FE6D5B"/>
    <w:rsid w:val="00FE7189"/>
    <w:rsid w:val="00FE7267"/>
    <w:rsid w:val="00FE7A7A"/>
    <w:rsid w:val="00FE7ACD"/>
    <w:rsid w:val="00FF01F6"/>
    <w:rsid w:val="00FF0E17"/>
    <w:rsid w:val="00FF18FA"/>
    <w:rsid w:val="00FF214B"/>
    <w:rsid w:val="00FF26BB"/>
    <w:rsid w:val="00FF2743"/>
    <w:rsid w:val="00FF3071"/>
    <w:rsid w:val="00FF32AD"/>
    <w:rsid w:val="00FF3648"/>
    <w:rsid w:val="00FF3891"/>
    <w:rsid w:val="00FF3A52"/>
    <w:rsid w:val="00FF3F3C"/>
    <w:rsid w:val="00FF4122"/>
    <w:rsid w:val="00FF4686"/>
    <w:rsid w:val="00FF4762"/>
    <w:rsid w:val="00FF4843"/>
    <w:rsid w:val="00FF49D3"/>
    <w:rsid w:val="00FF4FDD"/>
    <w:rsid w:val="00FF506A"/>
    <w:rsid w:val="00FF5518"/>
    <w:rsid w:val="00FF59D5"/>
    <w:rsid w:val="00FF6568"/>
    <w:rsid w:val="00FF6FF6"/>
    <w:rsid w:val="00FF700B"/>
    <w:rsid w:val="0154B12C"/>
    <w:rsid w:val="016A7C1D"/>
    <w:rsid w:val="01C3880F"/>
    <w:rsid w:val="02177772"/>
    <w:rsid w:val="021C7438"/>
    <w:rsid w:val="021FB432"/>
    <w:rsid w:val="02DA153C"/>
    <w:rsid w:val="033D0927"/>
    <w:rsid w:val="0366902F"/>
    <w:rsid w:val="0449A6D1"/>
    <w:rsid w:val="04A4B709"/>
    <w:rsid w:val="056F2F1A"/>
    <w:rsid w:val="059B7F98"/>
    <w:rsid w:val="067FAD8B"/>
    <w:rsid w:val="06B5FB61"/>
    <w:rsid w:val="0828AD1F"/>
    <w:rsid w:val="08B246C0"/>
    <w:rsid w:val="08EC03D8"/>
    <w:rsid w:val="0908AC13"/>
    <w:rsid w:val="09A29168"/>
    <w:rsid w:val="09ADC5E4"/>
    <w:rsid w:val="09DF1B86"/>
    <w:rsid w:val="09F333CB"/>
    <w:rsid w:val="0A0FEC71"/>
    <w:rsid w:val="0AE09611"/>
    <w:rsid w:val="0AECCD10"/>
    <w:rsid w:val="0BB3C50D"/>
    <w:rsid w:val="0C093D0F"/>
    <w:rsid w:val="0C31168F"/>
    <w:rsid w:val="0C504A4B"/>
    <w:rsid w:val="0C55C85F"/>
    <w:rsid w:val="0CBFACC8"/>
    <w:rsid w:val="0D267A0F"/>
    <w:rsid w:val="0D4631D1"/>
    <w:rsid w:val="0D7A9695"/>
    <w:rsid w:val="0DD7662E"/>
    <w:rsid w:val="0DE14B8A"/>
    <w:rsid w:val="0E5D7C81"/>
    <w:rsid w:val="0E75BE4B"/>
    <w:rsid w:val="0E8F51CA"/>
    <w:rsid w:val="0EAC9CA8"/>
    <w:rsid w:val="0EBF0B58"/>
    <w:rsid w:val="0F6D08F6"/>
    <w:rsid w:val="0F7A5F88"/>
    <w:rsid w:val="0FAAF234"/>
    <w:rsid w:val="0FAD815B"/>
    <w:rsid w:val="10A9D834"/>
    <w:rsid w:val="10C74286"/>
    <w:rsid w:val="1159DDC0"/>
    <w:rsid w:val="1180D328"/>
    <w:rsid w:val="138992D6"/>
    <w:rsid w:val="138D8F26"/>
    <w:rsid w:val="138FEEC7"/>
    <w:rsid w:val="1454D9C0"/>
    <w:rsid w:val="146EF348"/>
    <w:rsid w:val="14BF6254"/>
    <w:rsid w:val="14E534A2"/>
    <w:rsid w:val="14EC4E67"/>
    <w:rsid w:val="150B4175"/>
    <w:rsid w:val="15CB7EC6"/>
    <w:rsid w:val="1637FC6E"/>
    <w:rsid w:val="16BF97C7"/>
    <w:rsid w:val="171B6C61"/>
    <w:rsid w:val="175B7CD4"/>
    <w:rsid w:val="176A1CBE"/>
    <w:rsid w:val="177682CB"/>
    <w:rsid w:val="17D4E777"/>
    <w:rsid w:val="184F9D54"/>
    <w:rsid w:val="1A429BDD"/>
    <w:rsid w:val="1AEE106C"/>
    <w:rsid w:val="1B4F0F13"/>
    <w:rsid w:val="1CEFB8FA"/>
    <w:rsid w:val="1DC1BE93"/>
    <w:rsid w:val="1DDFDE4F"/>
    <w:rsid w:val="1DF9E06E"/>
    <w:rsid w:val="1E23818E"/>
    <w:rsid w:val="1E266FA0"/>
    <w:rsid w:val="1E8EC7BD"/>
    <w:rsid w:val="1F5B1760"/>
    <w:rsid w:val="1F71D02B"/>
    <w:rsid w:val="1F84AB14"/>
    <w:rsid w:val="1F8F4111"/>
    <w:rsid w:val="1FA0B994"/>
    <w:rsid w:val="1FCBD6C2"/>
    <w:rsid w:val="21148368"/>
    <w:rsid w:val="2194BF8C"/>
    <w:rsid w:val="21E0DF97"/>
    <w:rsid w:val="22B32ED4"/>
    <w:rsid w:val="234CD346"/>
    <w:rsid w:val="2355A71C"/>
    <w:rsid w:val="23AD4958"/>
    <w:rsid w:val="23D19CFC"/>
    <w:rsid w:val="23D58514"/>
    <w:rsid w:val="23DCD5AA"/>
    <w:rsid w:val="2410383D"/>
    <w:rsid w:val="24EA863D"/>
    <w:rsid w:val="25633960"/>
    <w:rsid w:val="25945612"/>
    <w:rsid w:val="25CF1626"/>
    <w:rsid w:val="267663DA"/>
    <w:rsid w:val="26808A07"/>
    <w:rsid w:val="26B1A4FA"/>
    <w:rsid w:val="2734C290"/>
    <w:rsid w:val="27791056"/>
    <w:rsid w:val="27FC4618"/>
    <w:rsid w:val="28308C99"/>
    <w:rsid w:val="28B4C135"/>
    <w:rsid w:val="28CCF095"/>
    <w:rsid w:val="28D3CB8E"/>
    <w:rsid w:val="29024EB3"/>
    <w:rsid w:val="29984432"/>
    <w:rsid w:val="29D2EADA"/>
    <w:rsid w:val="2B0335E9"/>
    <w:rsid w:val="2BBD01D9"/>
    <w:rsid w:val="2BEB8CD3"/>
    <w:rsid w:val="2C432EB3"/>
    <w:rsid w:val="2C61DB23"/>
    <w:rsid w:val="2C822201"/>
    <w:rsid w:val="2C8253D7"/>
    <w:rsid w:val="2D636502"/>
    <w:rsid w:val="2DCB03D1"/>
    <w:rsid w:val="2DF7052F"/>
    <w:rsid w:val="2E5D2D98"/>
    <w:rsid w:val="2EBA93BD"/>
    <w:rsid w:val="2EFADDE4"/>
    <w:rsid w:val="2F63F1CA"/>
    <w:rsid w:val="2F6F0B5F"/>
    <w:rsid w:val="2FA30CBB"/>
    <w:rsid w:val="2FB79C70"/>
    <w:rsid w:val="2FEB0AD0"/>
    <w:rsid w:val="304A9619"/>
    <w:rsid w:val="30A76556"/>
    <w:rsid w:val="30FDD9B8"/>
    <w:rsid w:val="311805B4"/>
    <w:rsid w:val="31195909"/>
    <w:rsid w:val="311D9FA3"/>
    <w:rsid w:val="312291E8"/>
    <w:rsid w:val="318EFA8E"/>
    <w:rsid w:val="324696BD"/>
    <w:rsid w:val="32692425"/>
    <w:rsid w:val="32AFF8B7"/>
    <w:rsid w:val="3371EB34"/>
    <w:rsid w:val="33C965B5"/>
    <w:rsid w:val="34021E32"/>
    <w:rsid w:val="346B8786"/>
    <w:rsid w:val="355E0E37"/>
    <w:rsid w:val="36C3A01C"/>
    <w:rsid w:val="36DE2982"/>
    <w:rsid w:val="36FF618B"/>
    <w:rsid w:val="37A52086"/>
    <w:rsid w:val="385059DE"/>
    <w:rsid w:val="3882E762"/>
    <w:rsid w:val="38A7E7B6"/>
    <w:rsid w:val="38B83DCF"/>
    <w:rsid w:val="3A00F5E4"/>
    <w:rsid w:val="3A02A2BD"/>
    <w:rsid w:val="3A1337E8"/>
    <w:rsid w:val="3AA63811"/>
    <w:rsid w:val="3B20AB05"/>
    <w:rsid w:val="3B5FE5F8"/>
    <w:rsid w:val="3B6BCC77"/>
    <w:rsid w:val="3C6B80EE"/>
    <w:rsid w:val="3C792D81"/>
    <w:rsid w:val="3CD398BF"/>
    <w:rsid w:val="3DF63A0F"/>
    <w:rsid w:val="3E4249C0"/>
    <w:rsid w:val="3E48F763"/>
    <w:rsid w:val="3E7EAC71"/>
    <w:rsid w:val="3F28CEC3"/>
    <w:rsid w:val="3F4E973D"/>
    <w:rsid w:val="3F6ABEEB"/>
    <w:rsid w:val="409BC5BB"/>
    <w:rsid w:val="40F25BB3"/>
    <w:rsid w:val="4168A9AC"/>
    <w:rsid w:val="424CD2F4"/>
    <w:rsid w:val="42D7EEC7"/>
    <w:rsid w:val="42EC0A47"/>
    <w:rsid w:val="445362D7"/>
    <w:rsid w:val="44854A31"/>
    <w:rsid w:val="44A757DC"/>
    <w:rsid w:val="45A9B640"/>
    <w:rsid w:val="4629F05B"/>
    <w:rsid w:val="462B663B"/>
    <w:rsid w:val="4711493C"/>
    <w:rsid w:val="472BD25F"/>
    <w:rsid w:val="47DDBA9D"/>
    <w:rsid w:val="47E9799B"/>
    <w:rsid w:val="47FBB807"/>
    <w:rsid w:val="4810EA74"/>
    <w:rsid w:val="483F3D85"/>
    <w:rsid w:val="48939568"/>
    <w:rsid w:val="489BCD57"/>
    <w:rsid w:val="48D5B90A"/>
    <w:rsid w:val="49152D06"/>
    <w:rsid w:val="4930711E"/>
    <w:rsid w:val="494A3A08"/>
    <w:rsid w:val="49DF2BFD"/>
    <w:rsid w:val="4A81777E"/>
    <w:rsid w:val="4AA9551C"/>
    <w:rsid w:val="4AC4C6D4"/>
    <w:rsid w:val="4AFF6BB8"/>
    <w:rsid w:val="4B31CF6E"/>
    <w:rsid w:val="4B3ADA32"/>
    <w:rsid w:val="4B7C65B1"/>
    <w:rsid w:val="4BDFD800"/>
    <w:rsid w:val="4C501E93"/>
    <w:rsid w:val="4CFB1383"/>
    <w:rsid w:val="4D249E3C"/>
    <w:rsid w:val="4DD810F5"/>
    <w:rsid w:val="4DEA3F12"/>
    <w:rsid w:val="4E8C2601"/>
    <w:rsid w:val="4EE23AB8"/>
    <w:rsid w:val="4F033901"/>
    <w:rsid w:val="4F251036"/>
    <w:rsid w:val="4F35B8B9"/>
    <w:rsid w:val="5005C1F7"/>
    <w:rsid w:val="500C30FD"/>
    <w:rsid w:val="5056B332"/>
    <w:rsid w:val="5072B5E7"/>
    <w:rsid w:val="50D6D418"/>
    <w:rsid w:val="52F48D00"/>
    <w:rsid w:val="530686D0"/>
    <w:rsid w:val="53FA3C2E"/>
    <w:rsid w:val="540A9BA9"/>
    <w:rsid w:val="5436BE12"/>
    <w:rsid w:val="544C4966"/>
    <w:rsid w:val="54891DC1"/>
    <w:rsid w:val="550471A0"/>
    <w:rsid w:val="553BB6DD"/>
    <w:rsid w:val="560AD2F9"/>
    <w:rsid w:val="56307056"/>
    <w:rsid w:val="574289C7"/>
    <w:rsid w:val="57929821"/>
    <w:rsid w:val="58136F0C"/>
    <w:rsid w:val="58557DF5"/>
    <w:rsid w:val="58C5E9CF"/>
    <w:rsid w:val="590B6DD5"/>
    <w:rsid w:val="5999C743"/>
    <w:rsid w:val="59F7AE64"/>
    <w:rsid w:val="5AF70333"/>
    <w:rsid w:val="5B075B40"/>
    <w:rsid w:val="5B4E0B5E"/>
    <w:rsid w:val="5BA778C8"/>
    <w:rsid w:val="5BCEF70E"/>
    <w:rsid w:val="5C2BFDD8"/>
    <w:rsid w:val="5C78895E"/>
    <w:rsid w:val="5D2AA9A5"/>
    <w:rsid w:val="5DFEBCD7"/>
    <w:rsid w:val="5EFB436B"/>
    <w:rsid w:val="5FB512B7"/>
    <w:rsid w:val="60240546"/>
    <w:rsid w:val="6027D3E3"/>
    <w:rsid w:val="60AB3DB6"/>
    <w:rsid w:val="60E08AFE"/>
    <w:rsid w:val="61129735"/>
    <w:rsid w:val="61329517"/>
    <w:rsid w:val="61D8A5E7"/>
    <w:rsid w:val="61DED7C7"/>
    <w:rsid w:val="6224638D"/>
    <w:rsid w:val="6244C2DB"/>
    <w:rsid w:val="62BA188D"/>
    <w:rsid w:val="62F62830"/>
    <w:rsid w:val="632A569F"/>
    <w:rsid w:val="63A194B7"/>
    <w:rsid w:val="63C91B1C"/>
    <w:rsid w:val="63F1A05A"/>
    <w:rsid w:val="63F8BE7F"/>
    <w:rsid w:val="646C1F66"/>
    <w:rsid w:val="64C3726A"/>
    <w:rsid w:val="652013AB"/>
    <w:rsid w:val="652651F9"/>
    <w:rsid w:val="65354A59"/>
    <w:rsid w:val="6553A152"/>
    <w:rsid w:val="65C696B4"/>
    <w:rsid w:val="65F9E07A"/>
    <w:rsid w:val="6684C35D"/>
    <w:rsid w:val="66B58E3A"/>
    <w:rsid w:val="671FB14A"/>
    <w:rsid w:val="677C50F1"/>
    <w:rsid w:val="6786E299"/>
    <w:rsid w:val="687F8BAC"/>
    <w:rsid w:val="693C20A3"/>
    <w:rsid w:val="6974C078"/>
    <w:rsid w:val="6A6B9BE4"/>
    <w:rsid w:val="6B4A81A4"/>
    <w:rsid w:val="6BA6C678"/>
    <w:rsid w:val="6C6CCF34"/>
    <w:rsid w:val="6C918DFB"/>
    <w:rsid w:val="6CE5D019"/>
    <w:rsid w:val="6DBC4B7F"/>
    <w:rsid w:val="6DF09FAE"/>
    <w:rsid w:val="6E13B30C"/>
    <w:rsid w:val="6E4C601F"/>
    <w:rsid w:val="6EACF737"/>
    <w:rsid w:val="6EB2CCDC"/>
    <w:rsid w:val="6EE66117"/>
    <w:rsid w:val="6EE81812"/>
    <w:rsid w:val="6F0B2D72"/>
    <w:rsid w:val="6F31B55A"/>
    <w:rsid w:val="6F3FF559"/>
    <w:rsid w:val="6FAF38D5"/>
    <w:rsid w:val="6FD47345"/>
    <w:rsid w:val="7000E860"/>
    <w:rsid w:val="70128460"/>
    <w:rsid w:val="702D01F0"/>
    <w:rsid w:val="704C536D"/>
    <w:rsid w:val="7061E569"/>
    <w:rsid w:val="70753479"/>
    <w:rsid w:val="70D2F3A3"/>
    <w:rsid w:val="70FB3E8A"/>
    <w:rsid w:val="7139ED40"/>
    <w:rsid w:val="71512E16"/>
    <w:rsid w:val="7211A8A9"/>
    <w:rsid w:val="724ABAF7"/>
    <w:rsid w:val="73916E02"/>
    <w:rsid w:val="74E763DE"/>
    <w:rsid w:val="75A2D32E"/>
    <w:rsid w:val="75CCAB84"/>
    <w:rsid w:val="75F84815"/>
    <w:rsid w:val="769763E5"/>
    <w:rsid w:val="76ADA843"/>
    <w:rsid w:val="774614EC"/>
    <w:rsid w:val="774DEC47"/>
    <w:rsid w:val="7797EB23"/>
    <w:rsid w:val="779E9FD6"/>
    <w:rsid w:val="797B6FCB"/>
    <w:rsid w:val="79835182"/>
    <w:rsid w:val="79AB2961"/>
    <w:rsid w:val="79EC28A1"/>
    <w:rsid w:val="7A0061C9"/>
    <w:rsid w:val="7A1DB346"/>
    <w:rsid w:val="7C0B4090"/>
    <w:rsid w:val="7C9D0FC2"/>
    <w:rsid w:val="7CC4AC52"/>
    <w:rsid w:val="7D2065DB"/>
    <w:rsid w:val="7D8C498B"/>
    <w:rsid w:val="7E256B2C"/>
    <w:rsid w:val="7E65462D"/>
    <w:rsid w:val="7F65864E"/>
    <w:rsid w:val="7FA833F3"/>
    <w:rsid w:val="7FEC96A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D05709"/>
  <w15:docId w15:val="{6500E4B2-87C2-4E26-AB36-52A6B61F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qFormat="1"/>
    <w:lsdException w:name="header"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jc w:val="both"/>
    </w:pPr>
    <w:rPr>
      <w:rFonts w:ascii="Calibri" w:eastAsia="Times New Roman" w:hAnsi="Calibri"/>
      <w:sz w:val="22"/>
      <w:szCs w:val="24"/>
      <w:lang w:eastAsia="en-GB"/>
    </w:rPr>
  </w:style>
  <w:style w:type="paragraph" w:styleId="Naslov1">
    <w:name w:val="heading 1"/>
    <w:next w:val="Normal"/>
    <w:link w:val="Naslov1Char"/>
    <w:qFormat/>
    <w:pPr>
      <w:keepNext/>
      <w:numPr>
        <w:numId w:val="1"/>
      </w:numPr>
      <w:jc w:val="both"/>
      <w:outlineLvl w:val="0"/>
    </w:pPr>
    <w:rPr>
      <w:rFonts w:ascii="Calibri" w:eastAsia="Calibri" w:hAnsi="Calibri" w:cs="Calibri"/>
      <w:b/>
      <w:kern w:val="32"/>
      <w:sz w:val="44"/>
      <w:szCs w:val="40"/>
      <w:u w:color="000000"/>
    </w:rPr>
  </w:style>
  <w:style w:type="paragraph" w:styleId="Naslov2">
    <w:name w:val="heading 2"/>
    <w:next w:val="Normal"/>
    <w:link w:val="Naslov2Char"/>
    <w:uiPriority w:val="9"/>
    <w:qFormat/>
    <w:pPr>
      <w:keepNext/>
      <w:numPr>
        <w:ilvl w:val="1"/>
        <w:numId w:val="2"/>
      </w:numPr>
      <w:jc w:val="both"/>
      <w:outlineLvl w:val="1"/>
    </w:pPr>
    <w:rPr>
      <w:rFonts w:ascii="Calibri" w:eastAsia="Calibri" w:hAnsi="Calibri" w:cs="Calibri"/>
      <w:b/>
      <w:color w:val="000000"/>
      <w:sz w:val="36"/>
      <w:szCs w:val="36"/>
      <w:u w:color="000000"/>
    </w:rPr>
  </w:style>
  <w:style w:type="paragraph" w:styleId="Naslov3">
    <w:name w:val="heading 3"/>
    <w:next w:val="Normal"/>
    <w:link w:val="Naslov3Char"/>
    <w:qFormat/>
    <w:pPr>
      <w:keepNext/>
      <w:jc w:val="both"/>
      <w:outlineLvl w:val="2"/>
    </w:pPr>
    <w:rPr>
      <w:rFonts w:ascii="Calibri" w:eastAsia="Calibri" w:hAnsi="Calibri" w:cs="Calibri"/>
      <w:b/>
      <w:bCs/>
      <w:color w:val="000000"/>
      <w:spacing w:val="20"/>
      <w:sz w:val="36"/>
      <w:szCs w:val="22"/>
      <w:u w:color="000000"/>
    </w:rPr>
  </w:style>
  <w:style w:type="paragraph" w:styleId="Naslov4">
    <w:name w:val="heading 4"/>
    <w:basedOn w:val="Odlomakpopisa"/>
    <w:next w:val="Normal"/>
    <w:link w:val="Naslov4Char"/>
    <w:uiPriority w:val="9"/>
    <w:unhideWhenUsed/>
    <w:qFormat/>
    <w:pPr>
      <w:spacing w:line="240" w:lineRule="auto"/>
      <w:ind w:left="425" w:hanging="425"/>
      <w:jc w:val="left"/>
      <w:outlineLvl w:val="3"/>
    </w:pPr>
    <w:rPr>
      <w:sz w:val="24"/>
      <w:lang w:eastAsia="hr-HR"/>
    </w:rPr>
  </w:style>
  <w:style w:type="paragraph" w:styleId="Naslov5">
    <w:name w:val="heading 5"/>
    <w:basedOn w:val="Odlomakpopisa"/>
    <w:next w:val="Normal"/>
    <w:link w:val="Naslov5Char"/>
    <w:uiPriority w:val="9"/>
    <w:unhideWhenUsed/>
    <w:qFormat/>
    <w:pPr>
      <w:numPr>
        <w:ilvl w:val="1"/>
        <w:numId w:val="3"/>
      </w:numPr>
      <w:jc w:val="left"/>
      <w:outlineLvl w:val="4"/>
    </w:pPr>
    <w:rPr>
      <w:sz w:val="40"/>
      <w:szCs w:val="40"/>
      <w:lang w:eastAsia="hr-HR"/>
    </w:rPr>
  </w:style>
  <w:style w:type="paragraph" w:styleId="Naslov6">
    <w:name w:val="heading 6"/>
    <w:basedOn w:val="Odlomakpopisa"/>
    <w:next w:val="Normal"/>
    <w:link w:val="Naslov6Char"/>
    <w:uiPriority w:val="9"/>
    <w:unhideWhenUsed/>
    <w:qFormat/>
    <w:pPr>
      <w:numPr>
        <w:ilvl w:val="2"/>
        <w:numId w:val="3"/>
      </w:numPr>
      <w:ind w:left="1701" w:hanging="981"/>
      <w:jc w:val="left"/>
      <w:outlineLvl w:val="5"/>
    </w:pPr>
    <w:rPr>
      <w:sz w:val="32"/>
      <w:szCs w:val="32"/>
      <w:lang w:eastAsia="hr-HR"/>
    </w:rPr>
  </w:style>
  <w:style w:type="paragraph" w:styleId="Naslov7">
    <w:name w:val="heading 7"/>
    <w:basedOn w:val="Odlomakpopisa"/>
    <w:next w:val="Normal"/>
    <w:link w:val="Naslov7Char"/>
    <w:uiPriority w:val="9"/>
    <w:unhideWhenUsed/>
    <w:qFormat/>
    <w:pPr>
      <w:numPr>
        <w:ilvl w:val="3"/>
        <w:numId w:val="3"/>
      </w:numPr>
      <w:ind w:left="2127" w:hanging="1047"/>
      <w:jc w:val="left"/>
      <w:outlineLvl w:val="6"/>
    </w:pPr>
    <w:rPr>
      <w:sz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pPr>
      <w:ind w:left="720"/>
      <w:contextualSpacing/>
    </w:pPr>
    <w:rPr>
      <w:rFonts w:eastAsiaTheme="minorHAnsi" w:cstheme="minorBidi"/>
      <w:b/>
      <w:lang w:eastAsia="en-US"/>
    </w:rPr>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Opisslike">
    <w:name w:val="caption"/>
    <w:basedOn w:val="Normal"/>
    <w:next w:val="Normal"/>
    <w:link w:val="OpisslikeChar"/>
    <w:uiPriority w:val="35"/>
    <w:unhideWhenUsed/>
    <w:qFormat/>
    <w:pPr>
      <w:keepNext/>
      <w:spacing w:line="240" w:lineRule="auto"/>
    </w:pPr>
    <w:rPr>
      <w:b/>
      <w:bCs/>
      <w:szCs w:val="18"/>
    </w:rPr>
  </w:style>
  <w:style w:type="character" w:styleId="Referencakomentara">
    <w:name w:val="annotation reference"/>
    <w:basedOn w:val="Zadanifontodlomka"/>
    <w:uiPriority w:val="99"/>
    <w:unhideWhenUsed/>
    <w:qFormat/>
    <w:rPr>
      <w:sz w:val="16"/>
      <w:szCs w:val="16"/>
    </w:rPr>
  </w:style>
  <w:style w:type="paragraph" w:styleId="Tekstkomentara">
    <w:name w:val="annotation text"/>
    <w:basedOn w:val="Normal"/>
    <w:link w:val="TekstkomentaraChar"/>
    <w:uiPriority w:val="99"/>
    <w:unhideWhenUsed/>
    <w:qFormat/>
    <w:rPr>
      <w:rFonts w:ascii="Times New Roman" w:eastAsia="Arial Unicode MS" w:hAnsi="Times New Roman"/>
      <w:sz w:val="20"/>
      <w:szCs w:val="20"/>
      <w:lang w:eastAsia="en-US"/>
    </w:rPr>
  </w:style>
  <w:style w:type="paragraph" w:styleId="Predmetkomentara">
    <w:name w:val="annotation subject"/>
    <w:basedOn w:val="Tekstkomentara"/>
    <w:next w:val="Tekstkomentara"/>
    <w:link w:val="PredmetkomentaraChar"/>
    <w:uiPriority w:val="99"/>
    <w:semiHidden/>
    <w:unhideWhenUsed/>
    <w:pPr>
      <w:spacing w:line="240" w:lineRule="auto"/>
    </w:pPr>
    <w:rPr>
      <w:rFonts w:ascii="Calibri" w:eastAsia="Calibri" w:hAnsi="Calibri" w:cs="Calibri"/>
      <w:b/>
      <w:bCs/>
      <w:color w:val="000000"/>
      <w:lang w:eastAsia="hr-HR"/>
    </w:rPr>
  </w:style>
  <w:style w:type="character" w:styleId="Istaknuto">
    <w:name w:val="Emphasis"/>
    <w:basedOn w:val="Zadanifontodlomka"/>
    <w:uiPriority w:val="20"/>
    <w:qFormat/>
    <w:rPr>
      <w:i/>
      <w:iCs/>
    </w:rPr>
  </w:style>
  <w:style w:type="character" w:styleId="Referencakrajnjebiljeke">
    <w:name w:val="endnote reference"/>
    <w:basedOn w:val="Zadanifontodlomka"/>
    <w:uiPriority w:val="99"/>
    <w:semiHidden/>
    <w:unhideWhenUsed/>
    <w:rPr>
      <w:vertAlign w:val="superscript"/>
    </w:rPr>
  </w:style>
  <w:style w:type="paragraph" w:styleId="Tekstkrajnjebiljeke">
    <w:name w:val="endnote text"/>
    <w:basedOn w:val="Normal"/>
    <w:link w:val="TekstkrajnjebiljekeChar"/>
    <w:uiPriority w:val="99"/>
    <w:semiHidden/>
    <w:unhideWhenUsed/>
    <w:pPr>
      <w:spacing w:line="240" w:lineRule="auto"/>
    </w:pPr>
    <w:rPr>
      <w:sz w:val="20"/>
      <w:szCs w:val="20"/>
    </w:rPr>
  </w:style>
  <w:style w:type="character" w:styleId="SlijeenaHiperveza">
    <w:name w:val="FollowedHyperlink"/>
    <w:basedOn w:val="Zadanifontodlomka"/>
    <w:uiPriority w:val="99"/>
    <w:semiHidden/>
    <w:unhideWhenUsed/>
    <w:qFormat/>
    <w:rPr>
      <w:color w:val="59A8D1" w:themeColor="followedHyperlink"/>
      <w:u w:val="single"/>
    </w:rPr>
  </w:style>
  <w:style w:type="paragraph" w:styleId="Podnoje">
    <w:name w:val="footer"/>
    <w:basedOn w:val="Normal"/>
    <w:link w:val="PodnojeChar"/>
    <w:uiPriority w:val="99"/>
    <w:unhideWhenUsed/>
    <w:qFormat/>
    <w:pPr>
      <w:tabs>
        <w:tab w:val="center" w:pos="4536"/>
        <w:tab w:val="right" w:pos="9072"/>
      </w:tabs>
    </w:pPr>
  </w:style>
  <w:style w:type="character" w:styleId="Referencafusnote">
    <w:name w:val="footnote reference"/>
    <w:aliases w:val="Footnote symbol,Fussnota,Footnote reference number,note TESI,SUPERS,EN Footnote Reference,-E Fußnotenzeichen,ESPON Footnote No,number,Times 10 Point,Exposant 3 Point,Footnote Reference_LVL6,Footnote Reference_LVL61,BVI fnr"/>
    <w:basedOn w:val="Zadanifontodlomka"/>
    <w:uiPriority w:val="99"/>
    <w:unhideWhenUsed/>
    <w:qFormat/>
    <w:rPr>
      <w:vertAlign w:val="superscript"/>
    </w:r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link w:val="TekstfusnoteChar"/>
    <w:uiPriority w:val="99"/>
    <w:qFormat/>
    <w:rPr>
      <w:rFonts w:eastAsia="Calibri"/>
      <w:sz w:val="16"/>
      <w:szCs w:val="16"/>
      <w:u w:color="000000"/>
    </w:rPr>
  </w:style>
  <w:style w:type="paragraph" w:styleId="Zaglavlje">
    <w:name w:val="header"/>
    <w:link w:val="ZaglavljeChar"/>
    <w:uiPriority w:val="99"/>
    <w:qFormat/>
    <w:pPr>
      <w:tabs>
        <w:tab w:val="center" w:pos="4536"/>
        <w:tab w:val="right" w:pos="9072"/>
      </w:tabs>
    </w:pPr>
    <w:rPr>
      <w:rFonts w:ascii="Calibri" w:eastAsia="Calibri" w:hAnsi="Calibri" w:cs="Calibri"/>
      <w:color w:val="000000"/>
      <w:u w:color="000000"/>
    </w:rPr>
  </w:style>
  <w:style w:type="paragraph" w:styleId="HTMLunaprijedoblikovano">
    <w:name w:val="HTML Preformatted"/>
    <w:basedOn w:val="Normal"/>
    <w:link w:val="HTMLunaprijedoblikovano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styleId="Hiperveza">
    <w:name w:val="Hyperlink"/>
    <w:basedOn w:val="Zadanifontodlomka"/>
    <w:uiPriority w:val="99"/>
    <w:unhideWhenUsed/>
    <w:rPr>
      <w:rFonts w:ascii="Calibri" w:hAnsi="Calibri"/>
      <w:color w:val="auto"/>
      <w:sz w:val="22"/>
      <w:u w:val="none"/>
    </w:rPr>
  </w:style>
  <w:style w:type="paragraph" w:styleId="StandardWeb">
    <w:name w:val="Normal (Web)"/>
    <w:basedOn w:val="Normal"/>
    <w:link w:val="StandardWebChar"/>
    <w:uiPriority w:val="99"/>
    <w:unhideWhenUsed/>
    <w:pPr>
      <w:spacing w:before="100" w:beforeAutospacing="1" w:after="100" w:afterAutospacing="1" w:line="240" w:lineRule="auto"/>
    </w:pPr>
    <w:rPr>
      <w:rFonts w:ascii="Times New Roman" w:hAnsi="Times New Roman"/>
      <w:sz w:val="24"/>
    </w:rPr>
  </w:style>
  <w:style w:type="character" w:styleId="Naglaeno">
    <w:name w:val="Strong"/>
    <w:basedOn w:val="Zadanifontodlomka"/>
    <w:uiPriority w:val="22"/>
    <w:qFormat/>
    <w:rPr>
      <w:b/>
      <w:bCs/>
    </w:rPr>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pPr>
      <w:ind w:left="440" w:hanging="440"/>
      <w:jc w:val="left"/>
    </w:pPr>
    <w:rPr>
      <w:rFonts w:asciiTheme="minorHAnsi" w:hAnsiTheme="minorHAnsi"/>
      <w:b/>
      <w:bCs/>
      <w:sz w:val="20"/>
      <w:szCs w:val="20"/>
    </w:rPr>
  </w:style>
  <w:style w:type="paragraph" w:styleId="Sadraj1">
    <w:name w:val="toc 1"/>
    <w:basedOn w:val="Naslov10"/>
    <w:next w:val="Normal"/>
    <w:uiPriority w:val="39"/>
    <w:unhideWhenUsed/>
    <w:pPr>
      <w:numPr>
        <w:numId w:val="0"/>
      </w:numPr>
      <w:tabs>
        <w:tab w:val="left" w:pos="993"/>
        <w:tab w:val="right" w:leader="dot" w:pos="8789"/>
      </w:tabs>
      <w:spacing w:after="100" w:line="276" w:lineRule="auto"/>
      <w:ind w:left="765" w:right="57" w:hanging="623"/>
    </w:pPr>
    <w:rPr>
      <w:rFonts w:eastAsiaTheme="minorEastAsia"/>
      <w:sz w:val="20"/>
      <w:lang w:val="en-US"/>
    </w:rPr>
  </w:style>
  <w:style w:type="paragraph" w:customStyle="1" w:styleId="Naslov10">
    <w:name w:val="Naslov_1"/>
    <w:basedOn w:val="Odlomakpopisa"/>
    <w:link w:val="Naslov1Char0"/>
    <w:qFormat/>
    <w:pPr>
      <w:numPr>
        <w:numId w:val="2"/>
      </w:numPr>
    </w:pPr>
    <w:rPr>
      <w:sz w:val="44"/>
      <w:szCs w:val="44"/>
    </w:rPr>
  </w:style>
  <w:style w:type="paragraph" w:styleId="Sadraj2">
    <w:name w:val="toc 2"/>
    <w:basedOn w:val="Normal"/>
    <w:next w:val="Normal"/>
    <w:uiPriority w:val="39"/>
    <w:unhideWhenUsed/>
    <w:qFormat/>
    <w:pPr>
      <w:tabs>
        <w:tab w:val="left" w:pos="851"/>
        <w:tab w:val="right" w:leader="dot" w:pos="9356"/>
      </w:tabs>
      <w:spacing w:after="100" w:line="276" w:lineRule="auto"/>
      <w:ind w:left="851" w:right="276" w:hanging="709"/>
    </w:pPr>
    <w:rPr>
      <w:rFonts w:eastAsiaTheme="minorEastAsia" w:cstheme="minorBidi"/>
      <w:sz w:val="20"/>
      <w:lang w:val="en-US" w:eastAsia="en-US"/>
    </w:rPr>
  </w:style>
  <w:style w:type="paragraph" w:styleId="Sadraj3">
    <w:name w:val="toc 3"/>
    <w:basedOn w:val="Normal"/>
    <w:next w:val="Normal"/>
    <w:uiPriority w:val="39"/>
    <w:unhideWhenUsed/>
    <w:qFormat/>
    <w:pPr>
      <w:tabs>
        <w:tab w:val="left" w:pos="880"/>
        <w:tab w:val="right" w:leader="dot" w:pos="9622"/>
      </w:tabs>
      <w:spacing w:after="100" w:line="276" w:lineRule="auto"/>
      <w:ind w:left="440"/>
    </w:pPr>
    <w:rPr>
      <w:rFonts w:asciiTheme="minorHAnsi" w:eastAsiaTheme="minorEastAsia" w:hAnsiTheme="minorHAnsi" w:cstheme="minorBidi"/>
      <w:lang w:val="en-US" w:eastAsia="en-US"/>
    </w:rPr>
  </w:style>
  <w:style w:type="paragraph" w:styleId="Sadraj4">
    <w:name w:val="toc 4"/>
    <w:basedOn w:val="Normal"/>
    <w:next w:val="Normal"/>
    <w:uiPriority w:val="39"/>
    <w:unhideWhenUsed/>
    <w:pPr>
      <w:spacing w:after="100"/>
      <w:ind w:left="660"/>
    </w:pPr>
    <w:rPr>
      <w:b/>
      <w:sz w:val="20"/>
    </w:rPr>
  </w:style>
  <w:style w:type="paragraph" w:styleId="Sadraj5">
    <w:name w:val="toc 5"/>
    <w:basedOn w:val="Normal"/>
    <w:next w:val="Normal"/>
    <w:uiPriority w:val="39"/>
    <w:unhideWhenUsed/>
    <w:pPr>
      <w:spacing w:after="100"/>
      <w:ind w:left="880"/>
    </w:pPr>
    <w:rPr>
      <w:sz w:val="20"/>
    </w:rPr>
  </w:style>
  <w:style w:type="paragraph" w:styleId="Sadraj6">
    <w:name w:val="toc 6"/>
    <w:basedOn w:val="Normal"/>
    <w:next w:val="Normal"/>
    <w:uiPriority w:val="39"/>
    <w:unhideWhenUsed/>
    <w:pPr>
      <w:spacing w:after="100"/>
      <w:ind w:left="1100"/>
    </w:pPr>
  </w:style>
  <w:style w:type="paragraph" w:styleId="Sadraj7">
    <w:name w:val="toc 7"/>
    <w:basedOn w:val="Normal"/>
    <w:next w:val="Normal"/>
    <w:uiPriority w:val="39"/>
    <w:unhideWhenUsed/>
    <w:pPr>
      <w:spacing w:after="100"/>
      <w:ind w:left="1320"/>
    </w:pPr>
  </w:style>
  <w:style w:type="paragraph" w:customStyle="1" w:styleId="Body">
    <w:name w:val="Body"/>
    <w:qFormat/>
    <w:rPr>
      <w:rFonts w:ascii="Calibri" w:eastAsia="Calibri" w:hAnsi="Calibri" w:cs="Calibri"/>
      <w:color w:val="000000"/>
      <w:sz w:val="22"/>
      <w:szCs w:val="22"/>
      <w:u w:color="000000"/>
    </w:rPr>
  </w:style>
  <w:style w:type="paragraph" w:customStyle="1" w:styleId="Footnote">
    <w:name w:val="Footnote"/>
    <w:qFormat/>
    <w:rPr>
      <w:rFonts w:ascii="Helvetica Neue" w:eastAsia="Helvetica Neue" w:hAnsi="Helvetica Neue" w:cs="Helvetica Neue"/>
      <w:sz w:val="22"/>
      <w:szCs w:val="22"/>
    </w:rPr>
  </w:style>
  <w:style w:type="character" w:customStyle="1" w:styleId="PodnojeChar">
    <w:name w:val="Podnožje Char"/>
    <w:basedOn w:val="Zadanifontodlomka"/>
    <w:link w:val="Podnoje"/>
    <w:uiPriority w:val="99"/>
    <w:qFormat/>
    <w:rPr>
      <w:rFonts w:ascii="Calibri" w:eastAsia="Calibri" w:hAnsi="Calibri" w:cs="Calibri"/>
      <w:color w:val="000000"/>
      <w:sz w:val="22"/>
      <w:szCs w:val="22"/>
      <w:u w:color="000000"/>
    </w:rPr>
  </w:style>
  <w:style w:type="character" w:customStyle="1" w:styleId="TekstkomentaraChar">
    <w:name w:val="Tekst komentara Char"/>
    <w:basedOn w:val="Zadanifontodlomka"/>
    <w:link w:val="Tekstkomentara"/>
    <w:uiPriority w:val="99"/>
    <w:qFormat/>
    <w:rPr>
      <w:lang w:eastAsia="en-US"/>
    </w:rPr>
  </w:style>
  <w:style w:type="paragraph" w:customStyle="1" w:styleId="Sadrzaj">
    <w:name w:val="Sadrzaj"/>
    <w:basedOn w:val="Normal"/>
    <w:qFormat/>
    <w:rPr>
      <w:b/>
      <w:spacing w:val="20"/>
    </w:rPr>
  </w:style>
  <w:style w:type="character" w:customStyle="1" w:styleId="TekstbaloniaChar">
    <w:name w:val="Tekst balončića Char"/>
    <w:basedOn w:val="Zadanifontodlomka"/>
    <w:link w:val="Tekstbalonia"/>
    <w:uiPriority w:val="99"/>
    <w:semiHidden/>
    <w:rPr>
      <w:rFonts w:ascii="Tahoma" w:eastAsia="Calibri" w:hAnsi="Tahoma" w:cs="Tahoma"/>
      <w:color w:val="000000"/>
      <w:sz w:val="16"/>
      <w:szCs w:val="16"/>
      <w:u w:color="000000"/>
    </w:rPr>
  </w:style>
  <w:style w:type="paragraph" w:customStyle="1" w:styleId="Ilustracijapotpis">
    <w:name w:val="Ilustracija_potpis"/>
    <w:basedOn w:val="Normal"/>
    <w:qFormat/>
    <w:pPr>
      <w:numPr>
        <w:numId w:val="4"/>
      </w:numPr>
      <w:jc w:val="center"/>
    </w:pPr>
    <w:rPr>
      <w:b/>
    </w:rPr>
  </w:style>
  <w:style w:type="paragraph" w:customStyle="1" w:styleId="Ilustracija">
    <w:name w:val="Ilustracija"/>
    <w:basedOn w:val="Normal"/>
    <w:pPr>
      <w:jc w:val="center"/>
    </w:pPr>
  </w:style>
  <w:style w:type="character" w:customStyle="1" w:styleId="Naslov4Char">
    <w:name w:val="Naslov 4 Char"/>
    <w:basedOn w:val="Zadanifontodlomka"/>
    <w:link w:val="Naslov4"/>
    <w:uiPriority w:val="9"/>
    <w:rPr>
      <w:rFonts w:ascii="Calibri" w:eastAsiaTheme="minorHAnsi" w:hAnsi="Calibri" w:cstheme="minorBidi"/>
      <w:b/>
      <w:sz w:val="24"/>
      <w:szCs w:val="24"/>
    </w:rPr>
  </w:style>
  <w:style w:type="character" w:customStyle="1" w:styleId="pt-zadanifontodlomka-000006">
    <w:name w:val="pt-zadanifontodlomka-000006"/>
    <w:basedOn w:val="Zadanifontodlomka"/>
  </w:style>
  <w:style w:type="paragraph" w:customStyle="1" w:styleId="AF">
    <w:name w:val="AF"/>
    <w:basedOn w:val="Normal"/>
    <w:next w:val="Normal"/>
    <w:rPr>
      <w:i/>
      <w:caps/>
      <w:color w:val="E71909"/>
    </w:rPr>
  </w:style>
  <w:style w:type="paragraph" w:styleId="Bezproreda">
    <w:name w:val="No Spacing"/>
    <w:uiPriority w:val="1"/>
    <w:qFormat/>
    <w:rPr>
      <w:sz w:val="24"/>
      <w:szCs w:val="24"/>
      <w:lang w:val="en-US" w:eastAsia="en-US"/>
    </w:rPr>
  </w:style>
  <w:style w:type="paragraph" w:customStyle="1" w:styleId="TOCNaslov1">
    <w:name w:val="TOC Naslov1"/>
    <w:basedOn w:val="Naslov1"/>
    <w:next w:val="Normal"/>
    <w:uiPriority w:val="39"/>
    <w:unhideWhenUsed/>
    <w:qFormat/>
    <w:pPr>
      <w:keepLines/>
      <w:spacing w:before="480" w:line="276" w:lineRule="auto"/>
      <w:jc w:val="left"/>
      <w:outlineLvl w:val="9"/>
    </w:pPr>
    <w:rPr>
      <w:rFonts w:asciiTheme="majorHAnsi" w:eastAsiaTheme="majorEastAsia" w:hAnsiTheme="majorHAnsi" w:cstheme="majorBidi"/>
      <w:b w:val="0"/>
      <w:bCs/>
      <w:color w:val="31479E" w:themeColor="accent1" w:themeShade="BF"/>
      <w:kern w:val="0"/>
      <w:sz w:val="28"/>
      <w:szCs w:val="28"/>
      <w:lang w:val="en-US" w:eastAsia="en-US"/>
    </w:rPr>
  </w:style>
  <w:style w:type="character" w:customStyle="1" w:styleId="apple-converted-space">
    <w:name w:val="apple-converted-space"/>
    <w:basedOn w:val="Zadanifontodlomka"/>
    <w:qFormat/>
  </w:style>
  <w:style w:type="paragraph" w:customStyle="1" w:styleId="pt-t-9-8">
    <w:name w:val="pt-t-9-8"/>
    <w:basedOn w:val="Normal"/>
    <w:qFormat/>
    <w:pPr>
      <w:spacing w:before="100" w:beforeAutospacing="1" w:after="100" w:afterAutospacing="1" w:line="240" w:lineRule="auto"/>
    </w:pPr>
    <w:rPr>
      <w:rFonts w:ascii="Times New Roman" w:hAnsi="Times New Roman"/>
      <w:sz w:val="24"/>
    </w:rPr>
  </w:style>
  <w:style w:type="paragraph" w:customStyle="1" w:styleId="Default">
    <w:name w:val="Default"/>
    <w:rPr>
      <w:rFonts w:ascii="Helvetica Neue" w:eastAsia="Helvetica Neue" w:hAnsi="Helvetica Neue" w:cs="Helvetica Neue"/>
      <w:color w:val="000000"/>
      <w:sz w:val="22"/>
      <w:szCs w:val="22"/>
    </w:rPr>
  </w:style>
  <w:style w:type="character" w:customStyle="1" w:styleId="OdlomakpopisaChar">
    <w:name w:val="Odlomak popisa Char"/>
    <w:link w:val="Odlomakpopisa"/>
    <w:uiPriority w:val="34"/>
    <w:qFormat/>
    <w:locked/>
    <w:rPr>
      <w:rFonts w:ascii="Calibri" w:eastAsiaTheme="minorHAnsi" w:hAnsi="Calibri" w:cstheme="minorBidi"/>
      <w:b/>
      <w:sz w:val="22"/>
      <w:szCs w:val="22"/>
      <w:u w:color="000000"/>
      <w:lang w:eastAsia="en-US"/>
    </w:rPr>
  </w:style>
  <w:style w:type="character" w:customStyle="1" w:styleId="HTMLunaprijedoblikovanoChar">
    <w:name w:val="HTML unaprijed oblikovano Char"/>
    <w:basedOn w:val="Zadanifontodlomka"/>
    <w:link w:val="HTMLunaprijedoblikovano"/>
    <w:uiPriority w:val="99"/>
    <w:semiHidden/>
    <w:rPr>
      <w:rFonts w:ascii="Courier New" w:eastAsia="Times New Roman" w:hAnsi="Courier New" w:cs="Courier New"/>
      <w:lang w:eastAsia="en-GB"/>
    </w:rPr>
  </w:style>
  <w:style w:type="character" w:customStyle="1" w:styleId="PredmetkomentaraChar">
    <w:name w:val="Predmet komentara Char"/>
    <w:basedOn w:val="TekstkomentaraChar"/>
    <w:link w:val="Predmetkomentara"/>
    <w:uiPriority w:val="99"/>
    <w:semiHidden/>
    <w:qFormat/>
    <w:rPr>
      <w:rFonts w:ascii="Calibri" w:eastAsia="Calibri" w:hAnsi="Calibri" w:cs="Calibri"/>
      <w:b/>
      <w:bCs/>
      <w:color w:val="000000"/>
      <w:u w:color="000000"/>
      <w:lang w:val="en-US" w:eastAsia="en-US"/>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rPr>
      <w:rFonts w:eastAsia="Calibri"/>
      <w:sz w:val="16"/>
      <w:szCs w:val="16"/>
      <w:u w:color="000000"/>
    </w:rPr>
  </w:style>
  <w:style w:type="paragraph" w:customStyle="1" w:styleId="Revizija1">
    <w:name w:val="Revizija1"/>
    <w:hidden/>
    <w:uiPriority w:val="99"/>
    <w:semiHidden/>
    <w:rPr>
      <w:rFonts w:ascii="Calibri" w:eastAsia="Times New Roman" w:hAnsi="Calibri"/>
      <w:sz w:val="22"/>
      <w:szCs w:val="24"/>
      <w:lang w:eastAsia="en-GB"/>
    </w:rPr>
  </w:style>
  <w:style w:type="character" w:customStyle="1" w:styleId="UnresolvedMention1">
    <w:name w:val="Unresolved Mention1"/>
    <w:basedOn w:val="Zadanifontodlomka"/>
    <w:uiPriority w:val="99"/>
    <w:semiHidden/>
    <w:unhideWhenUsed/>
    <w:rPr>
      <w:color w:val="605E5C"/>
      <w:shd w:val="clear" w:color="auto" w:fill="E1DFDD"/>
    </w:rPr>
  </w:style>
  <w:style w:type="character" w:customStyle="1" w:styleId="Naslov5Char">
    <w:name w:val="Naslov 5 Char"/>
    <w:basedOn w:val="Zadanifontodlomka"/>
    <w:link w:val="Naslov5"/>
    <w:uiPriority w:val="9"/>
    <w:rPr>
      <w:rFonts w:ascii="Calibri" w:eastAsiaTheme="minorHAnsi" w:hAnsi="Calibri" w:cstheme="minorBidi"/>
      <w:b/>
      <w:sz w:val="40"/>
      <w:szCs w:val="40"/>
    </w:rPr>
  </w:style>
  <w:style w:type="character" w:customStyle="1" w:styleId="Naslov6Char">
    <w:name w:val="Naslov 6 Char"/>
    <w:basedOn w:val="Zadanifontodlomka"/>
    <w:link w:val="Naslov6"/>
    <w:uiPriority w:val="9"/>
    <w:rPr>
      <w:rFonts w:ascii="Calibri" w:eastAsiaTheme="minorHAnsi" w:hAnsi="Calibri" w:cstheme="minorBidi"/>
      <w:b/>
      <w:sz w:val="32"/>
      <w:szCs w:val="32"/>
    </w:rPr>
  </w:style>
  <w:style w:type="character" w:customStyle="1" w:styleId="Naslov7Char">
    <w:name w:val="Naslov 7 Char"/>
    <w:basedOn w:val="Zadanifontodlomka"/>
    <w:link w:val="Naslov7"/>
    <w:uiPriority w:val="9"/>
    <w:rPr>
      <w:rFonts w:ascii="Calibri" w:eastAsiaTheme="minorHAnsi" w:hAnsi="Calibri" w:cstheme="minorBidi"/>
      <w:b/>
      <w:sz w:val="24"/>
      <w:szCs w:val="24"/>
    </w:rPr>
  </w:style>
  <w:style w:type="paragraph" w:customStyle="1" w:styleId="tekst">
    <w:name w:val="tekst"/>
    <w:basedOn w:val="Normal"/>
    <w:link w:val="tekstChar"/>
    <w:qFormat/>
    <w:rPr>
      <w:rFonts w:cs="Calibri"/>
      <w:szCs w:val="22"/>
      <w:lang w:eastAsia="hr-HR"/>
    </w:rPr>
  </w:style>
  <w:style w:type="character" w:customStyle="1" w:styleId="tekstChar">
    <w:name w:val="tekst Char"/>
    <w:basedOn w:val="Zadanifontodlomka"/>
    <w:link w:val="tekst"/>
    <w:rPr>
      <w:rFonts w:ascii="Calibri" w:eastAsia="Times New Roman" w:hAnsi="Calibri" w:cs="Calibri"/>
      <w:sz w:val="22"/>
      <w:szCs w:val="22"/>
    </w:rPr>
  </w:style>
  <w:style w:type="character" w:customStyle="1" w:styleId="Naslov1Char0">
    <w:name w:val="Naslov_1 Char"/>
    <w:basedOn w:val="OdlomakpopisaChar"/>
    <w:link w:val="Naslov10"/>
    <w:rPr>
      <w:rFonts w:ascii="Calibri" w:eastAsiaTheme="minorHAnsi" w:hAnsi="Calibri" w:cstheme="minorBidi"/>
      <w:b/>
      <w:sz w:val="44"/>
      <w:szCs w:val="44"/>
      <w:u w:color="000000"/>
      <w:lang w:eastAsia="en-US"/>
    </w:rPr>
  </w:style>
  <w:style w:type="character" w:customStyle="1" w:styleId="Nerijeenospominjanje1">
    <w:name w:val="Neriješeno spominjanje1"/>
    <w:basedOn w:val="Zadanifontodlomka"/>
    <w:uiPriority w:val="99"/>
    <w:semiHidden/>
    <w:unhideWhenUsed/>
    <w:rPr>
      <w:color w:val="605E5C"/>
      <w:shd w:val="clear" w:color="auto" w:fill="E1DFDD"/>
    </w:rPr>
  </w:style>
  <w:style w:type="paragraph" w:customStyle="1" w:styleId="xxmsonormal">
    <w:name w:val="x_x_msonormal"/>
    <w:basedOn w:val="Normal"/>
    <w:pPr>
      <w:spacing w:line="240" w:lineRule="auto"/>
      <w:jc w:val="left"/>
    </w:pPr>
    <w:rPr>
      <w:rFonts w:eastAsia="Calibri" w:cs="Calibri"/>
      <w:szCs w:val="22"/>
      <w:lang w:eastAsia="hr-HR"/>
    </w:rPr>
  </w:style>
  <w:style w:type="character" w:customStyle="1" w:styleId="OpisslikeChar">
    <w:name w:val="Opis slike Char"/>
    <w:link w:val="Opisslike"/>
    <w:uiPriority w:val="35"/>
    <w:qFormat/>
    <w:locked/>
    <w:rPr>
      <w:rFonts w:ascii="Calibri" w:eastAsia="Times New Roman" w:hAnsi="Calibri"/>
      <w:b/>
      <w:bCs/>
      <w:sz w:val="22"/>
      <w:szCs w:val="18"/>
      <w:lang w:eastAsia="en-GB"/>
    </w:rPr>
  </w:style>
  <w:style w:type="character" w:customStyle="1" w:styleId="Naslov2Char">
    <w:name w:val="Naslov 2 Char"/>
    <w:basedOn w:val="Zadanifontodlomka"/>
    <w:link w:val="Naslov2"/>
    <w:uiPriority w:val="9"/>
    <w:rPr>
      <w:rFonts w:ascii="Calibri" w:eastAsia="Calibri" w:hAnsi="Calibri" w:cs="Calibri"/>
      <w:b/>
      <w:color w:val="000000"/>
      <w:sz w:val="36"/>
      <w:szCs w:val="36"/>
      <w:u w:color="000000"/>
    </w:rPr>
  </w:style>
  <w:style w:type="table" w:customStyle="1" w:styleId="Svijetlatablicapopisa1-isticanje51">
    <w:name w:val="Svijetla tablica popisa 1 - isticanje 51"/>
    <w:basedOn w:val="Obinatablica"/>
    <w:uiPriority w:val="46"/>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Obinatablica51">
    <w:name w:val="Obična tablica 51"/>
    <w:basedOn w:val="Obinatablica"/>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binatablica11">
    <w:name w:val="Obična tablica 11"/>
    <w:basedOn w:val="Obinatablica"/>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icareetke3-isticanje51">
    <w:name w:val="Tablica rešetke 3 - isticanje 51"/>
    <w:basedOn w:val="Obinatablica"/>
    <w:uiPriority w:val="48"/>
    <w:tblPr>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customStyle="1" w:styleId="Tablicareetke3-isticanje41">
    <w:name w:val="Tablica rešetke 3 - isticanje 41"/>
    <w:basedOn w:val="Obinatablica"/>
    <w:uiPriority w:val="48"/>
    <w:tblPr>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customStyle="1" w:styleId="Tablicareetke3-isticanje11">
    <w:name w:val="Tablica rešetke 3 - isticanje 11"/>
    <w:basedOn w:val="Obinatablica"/>
    <w:uiPriority w:val="48"/>
    <w:tblPr>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customStyle="1" w:styleId="Svijetlatablicapopisa1-isticanje11">
    <w:name w:val="Svijetla tablica popisa 1 - isticanje 11"/>
    <w:basedOn w:val="Obinatablica"/>
    <w:uiPriority w:val="46"/>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mnatablicareetke5-isticanje41">
    <w:name w:val="Tamna tablica rešetke 5 - isticanje 41"/>
    <w:basedOn w:val="Obinatablica"/>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customStyle="1" w:styleId="ivopisnatablicapopisa6-isticanje11">
    <w:name w:val="Živopisna tablica popisa 6 - isticanje 11"/>
    <w:basedOn w:val="Obinatablica"/>
    <w:uiPriority w:val="51"/>
    <w:qFormat/>
    <w:rPr>
      <w:color w:val="31479E" w:themeColor="accent1" w:themeShade="BF"/>
    </w:rPr>
    <w:tblPr>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ivopisnatablicapopisa6-isticanje41">
    <w:name w:val="Živopisna tablica popisa 6 - isticanje 41"/>
    <w:basedOn w:val="Obinatablica"/>
    <w:uiPriority w:val="51"/>
    <w:rPr>
      <w:color w:val="34AB8A" w:themeColor="accent4" w:themeShade="BF"/>
    </w:rPr>
    <w:tblPr>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ivopisnatablicapopisa6-isticanje51">
    <w:name w:val="Živopisna tablica popisa 6 - isticanje 51"/>
    <w:basedOn w:val="Obinatablica"/>
    <w:uiPriority w:val="51"/>
    <w:rPr>
      <w:color w:val="D75C00" w:themeColor="accent5" w:themeShade="BF"/>
    </w:rPr>
    <w:tblPr>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character" w:customStyle="1" w:styleId="Naslov1Char">
    <w:name w:val="Naslov 1 Char"/>
    <w:basedOn w:val="Zadanifontodlomka"/>
    <w:link w:val="Naslov1"/>
    <w:qFormat/>
    <w:rPr>
      <w:rFonts w:ascii="Calibri" w:eastAsia="Calibri" w:hAnsi="Calibri" w:cs="Calibri"/>
      <w:b/>
      <w:kern w:val="32"/>
      <w:sz w:val="44"/>
      <w:szCs w:val="40"/>
      <w:u w:color="000000"/>
    </w:rPr>
  </w:style>
  <w:style w:type="character" w:customStyle="1" w:styleId="Naslov3Char">
    <w:name w:val="Naslov 3 Char"/>
    <w:basedOn w:val="Zadanifontodlomka"/>
    <w:link w:val="Naslov3"/>
    <w:rPr>
      <w:rFonts w:ascii="Calibri" w:eastAsia="Calibri" w:hAnsi="Calibri" w:cs="Calibri"/>
      <w:b/>
      <w:bCs/>
      <w:color w:val="000000"/>
      <w:spacing w:val="20"/>
      <w:sz w:val="36"/>
      <w:szCs w:val="22"/>
      <w:u w:color="000000"/>
    </w:rPr>
  </w:style>
  <w:style w:type="character" w:customStyle="1" w:styleId="ZaglavljeChar">
    <w:name w:val="Zaglavlje Char"/>
    <w:basedOn w:val="Zadanifontodlomka"/>
    <w:link w:val="Zaglavlje"/>
    <w:uiPriority w:val="99"/>
    <w:rPr>
      <w:rFonts w:ascii="Calibri" w:eastAsia="Calibri" w:hAnsi="Calibri" w:cs="Calibri"/>
      <w:color w:val="000000"/>
      <w:u w:color="000000"/>
    </w:rPr>
  </w:style>
  <w:style w:type="paragraph" w:customStyle="1" w:styleId="msonormal0">
    <w:name w:val="msonormal"/>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hr-HR"/>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lang w:eastAsia="hr-HR"/>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jc w:val="left"/>
    </w:pPr>
    <w:rPr>
      <w:rFonts w:ascii="Times New Roman" w:hAnsi="Times New Roman"/>
      <w:sz w:val="24"/>
      <w:lang w:eastAsia="hr-HR"/>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6"/>
      <w:szCs w:val="16"/>
      <w:lang w:eastAsia="hr-HR"/>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left"/>
    </w:pPr>
    <w:rPr>
      <w:rFonts w:ascii="Times New Roman" w:hAnsi="Times New Roman"/>
      <w:sz w:val="24"/>
      <w:lang w:eastAsia="hr-HR"/>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eastAsia="hr-HR"/>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eastAsia="hr-HR"/>
    </w:rPr>
  </w:style>
  <w:style w:type="table" w:customStyle="1" w:styleId="Tablicapopisa2-isticanje41">
    <w:name w:val="Tablica popisa 2 - isticanje 41"/>
    <w:basedOn w:val="Obinatablica"/>
    <w:uiPriority w:val="47"/>
    <w:tblPr>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paragraph" w:customStyle="1" w:styleId="Broj2">
    <w:name w:val="Broj 2"/>
    <w:basedOn w:val="Odlomakpopisa"/>
    <w:qFormat/>
    <w:pPr>
      <w:keepLines/>
      <w:tabs>
        <w:tab w:val="left" w:pos="360"/>
        <w:tab w:val="left" w:pos="431"/>
      </w:tabs>
      <w:suppressAutoHyphens/>
      <w:spacing w:before="60" w:after="60" w:line="256" w:lineRule="auto"/>
      <w:ind w:left="1276" w:hanging="425"/>
      <w:contextualSpacing w:val="0"/>
    </w:pPr>
    <w:rPr>
      <w:rFonts w:ascii="Tahoma" w:eastAsia="Arial Unicode MS" w:hAnsi="Tahoma" w:cs="Myriad Pro"/>
      <w:b w:val="0"/>
      <w:sz w:val="20"/>
      <w:lang w:eastAsia="hr-HR"/>
    </w:rPr>
  </w:style>
  <w:style w:type="character" w:customStyle="1" w:styleId="StandardWebChar">
    <w:name w:val="Standard (Web) Char"/>
    <w:link w:val="StandardWeb"/>
    <w:uiPriority w:val="99"/>
    <w:locked/>
    <w:rPr>
      <w:rFonts w:eastAsia="Times New Roman"/>
      <w:sz w:val="24"/>
      <w:szCs w:val="24"/>
      <w:lang w:eastAsia="en-GB"/>
    </w:rPr>
  </w:style>
  <w:style w:type="character" w:customStyle="1" w:styleId="phrase">
    <w:name w:val="phrase"/>
    <w:basedOn w:val="Zadanifontodlomka"/>
  </w:style>
  <w:style w:type="character" w:customStyle="1" w:styleId="word">
    <w:name w:val="word"/>
    <w:basedOn w:val="Zadanifontodlomka"/>
  </w:style>
  <w:style w:type="paragraph" w:customStyle="1" w:styleId="t-9-8">
    <w:name w:val="t-9-8"/>
    <w:basedOn w:val="Normal"/>
    <w:pPr>
      <w:spacing w:before="100" w:beforeAutospacing="1" w:after="100" w:afterAutospacing="1" w:line="240" w:lineRule="auto"/>
      <w:jc w:val="left"/>
    </w:pPr>
    <w:rPr>
      <w:rFonts w:ascii="Times New Roman" w:hAnsi="Times New Roman"/>
      <w:sz w:val="24"/>
      <w:lang w:val="en-US" w:eastAsia="hr-HR"/>
    </w:rPr>
  </w:style>
  <w:style w:type="paragraph" w:customStyle="1" w:styleId="t-10-9-kurz-s">
    <w:name w:val="t-10-9-kurz-s"/>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clanak-">
    <w:name w:val="clanak-"/>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Bibliografija1">
    <w:name w:val="Bibliografija1"/>
    <w:basedOn w:val="Normal"/>
    <w:next w:val="Normal"/>
    <w:uiPriority w:val="37"/>
    <w:semiHidden/>
    <w:unhideWhenUsed/>
  </w:style>
  <w:style w:type="table" w:customStyle="1" w:styleId="Reetkatablice1">
    <w:name w:val="Rešetka tablice1"/>
    <w:basedOn w:val="Obinatablica"/>
    <w:uiPriority w:val="39"/>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39"/>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koisticanje1">
    <w:name w:val="Jako isticanje1"/>
    <w:basedOn w:val="Zadanifontodlomka"/>
    <w:uiPriority w:val="21"/>
    <w:qFormat/>
    <w:rPr>
      <w:i/>
      <w:iCs/>
      <w:color w:val="4E67C8" w:themeColor="accent1"/>
    </w:rPr>
  </w:style>
  <w:style w:type="paragraph" w:styleId="Citat">
    <w:name w:val="Quote"/>
    <w:basedOn w:val="Normal"/>
    <w:next w:val="Normal"/>
    <w:link w:val="CitatChar"/>
    <w:uiPriority w:val="29"/>
    <w:qFormat/>
    <w:pPr>
      <w:spacing w:before="200" w:after="160"/>
      <w:ind w:left="864" w:right="864"/>
      <w:jc w:val="center"/>
    </w:pPr>
    <w:rPr>
      <w:i/>
      <w:iCs/>
      <w:color w:val="404040" w:themeColor="text1" w:themeTint="BF"/>
    </w:rPr>
  </w:style>
  <w:style w:type="character" w:customStyle="1" w:styleId="CitatChar">
    <w:name w:val="Citat Char"/>
    <w:basedOn w:val="Zadanifontodlomka"/>
    <w:link w:val="Citat"/>
    <w:uiPriority w:val="29"/>
    <w:rPr>
      <w:rFonts w:ascii="Calibri" w:eastAsia="Times New Roman" w:hAnsi="Calibri"/>
      <w:i/>
      <w:iCs/>
      <w:color w:val="404040" w:themeColor="text1" w:themeTint="BF"/>
      <w:sz w:val="22"/>
      <w:szCs w:val="24"/>
      <w:lang w:eastAsia="en-GB"/>
    </w:rPr>
  </w:style>
  <w:style w:type="character" w:customStyle="1" w:styleId="Neupadljivareferenca1">
    <w:name w:val="Neupadljiva referenca1"/>
    <w:basedOn w:val="Zadanifontodlomka"/>
    <w:uiPriority w:val="31"/>
    <w:qFormat/>
    <w:rPr>
      <w:smallCaps/>
      <w:color w:val="595959" w:themeColor="text1" w:themeTint="A6"/>
    </w:rPr>
  </w:style>
  <w:style w:type="character" w:customStyle="1" w:styleId="summarymark">
    <w:name w:val="summarymark"/>
    <w:basedOn w:val="Zadanifontodlomka"/>
  </w:style>
  <w:style w:type="character" w:customStyle="1" w:styleId="mytool">
    <w:name w:val="mytool"/>
    <w:basedOn w:val="Zadanifontodlomka"/>
  </w:style>
  <w:style w:type="paragraph" w:customStyle="1" w:styleId="mt-translation">
    <w:name w:val="mt-translation"/>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paragraph">
    <w:name w:val="paragraph"/>
    <w:basedOn w:val="Normal"/>
    <w:pPr>
      <w:spacing w:line="240" w:lineRule="auto"/>
      <w:jc w:val="left"/>
    </w:pPr>
    <w:rPr>
      <w:rFonts w:ascii="Times New Roman" w:hAnsi="Times New Roman"/>
      <w:sz w:val="24"/>
      <w:lang w:eastAsia="hr-HR"/>
    </w:rPr>
  </w:style>
  <w:style w:type="table" w:customStyle="1" w:styleId="Reetkatablice13">
    <w:name w:val="Rešetka tablice13"/>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629">
    <w:name w:val="box_453629"/>
    <w:basedOn w:val="Normal"/>
    <w:pPr>
      <w:spacing w:before="100" w:beforeAutospacing="1" w:after="100" w:afterAutospacing="1" w:line="240" w:lineRule="auto"/>
      <w:jc w:val="left"/>
    </w:pPr>
    <w:rPr>
      <w:rFonts w:ascii="Times New Roman" w:hAnsi="Times New Roman"/>
      <w:sz w:val="24"/>
      <w:lang w:eastAsia="hr-HR"/>
    </w:rPr>
  </w:style>
  <w:style w:type="character" w:customStyle="1" w:styleId="TekstkrajnjebiljekeChar">
    <w:name w:val="Tekst krajnje bilješke Char"/>
    <w:basedOn w:val="Zadanifontodlomka"/>
    <w:link w:val="Tekstkrajnjebiljeke"/>
    <w:uiPriority w:val="99"/>
    <w:semiHidden/>
    <w:rPr>
      <w:rFonts w:ascii="Calibri" w:eastAsia="Times New Roman" w:hAnsi="Calibri"/>
      <w:lang w:eastAsia="en-GB"/>
    </w:rPr>
  </w:style>
  <w:style w:type="paragraph" w:customStyle="1" w:styleId="123456">
    <w:name w:val="123456"/>
    <w:basedOn w:val="Footnote"/>
    <w:rPr>
      <w:rFonts w:ascii="Times New Roman" w:hAnsi="Times New Roman" w:cs="Times New Roman"/>
      <w:sz w:val="16"/>
      <w:szCs w:val="16"/>
    </w:rPr>
  </w:style>
  <w:style w:type="character" w:customStyle="1" w:styleId="Nerijeenospominjanje2">
    <w:name w:val="Neriješeno spominjanje2"/>
    <w:basedOn w:val="Zadanifontodlomka"/>
    <w:uiPriority w:val="99"/>
    <w:semiHidden/>
    <w:unhideWhenUsed/>
    <w:rPr>
      <w:color w:val="605E5C"/>
      <w:shd w:val="clear" w:color="auto" w:fill="E1DFDD"/>
    </w:rPr>
  </w:style>
  <w:style w:type="paragraph" w:customStyle="1" w:styleId="statut">
    <w:name w:val="statut"/>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typedudocumentcp">
    <w:name w:val="typedudocument_cp"/>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titreobjetcp">
    <w:name w:val="titreobjet_cp"/>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doc-ti">
    <w:name w:val="doc-ti"/>
    <w:basedOn w:val="Normal"/>
    <w:pPr>
      <w:spacing w:before="100" w:beforeAutospacing="1" w:after="100" w:afterAutospacing="1" w:line="240" w:lineRule="auto"/>
      <w:jc w:val="left"/>
    </w:pPr>
    <w:rPr>
      <w:rFonts w:ascii="Times New Roman" w:hAnsi="Times New Roman"/>
      <w:sz w:val="24"/>
      <w:lang w:eastAsia="hr-HR"/>
    </w:rPr>
  </w:style>
  <w:style w:type="character" w:customStyle="1" w:styleId="Nerijeenospominjanje3">
    <w:name w:val="Neriješeno spominjanje3"/>
    <w:basedOn w:val="Zadanifontodlomka"/>
    <w:uiPriority w:val="99"/>
    <w:semiHidden/>
    <w:unhideWhenUsed/>
    <w:rsid w:val="00015BFA"/>
    <w:rPr>
      <w:color w:val="605E5C"/>
      <w:shd w:val="clear" w:color="auto" w:fill="E1DFDD"/>
    </w:rPr>
  </w:style>
  <w:style w:type="character" w:customStyle="1" w:styleId="Nerijeenospominjanje4">
    <w:name w:val="Neriješeno spominjanje4"/>
    <w:basedOn w:val="Zadanifontodlomka"/>
    <w:uiPriority w:val="99"/>
    <w:semiHidden/>
    <w:unhideWhenUsed/>
    <w:rsid w:val="002B296D"/>
    <w:rPr>
      <w:color w:val="605E5C"/>
      <w:shd w:val="clear" w:color="auto" w:fill="E1DFDD"/>
    </w:rPr>
  </w:style>
  <w:style w:type="paragraph" w:customStyle="1" w:styleId="oj-normal">
    <w:name w:val="oj-normal"/>
    <w:basedOn w:val="Normal"/>
    <w:rsid w:val="00105F8A"/>
    <w:pPr>
      <w:spacing w:before="100" w:beforeAutospacing="1" w:after="100" w:afterAutospacing="1" w:line="240" w:lineRule="auto"/>
      <w:jc w:val="left"/>
    </w:pPr>
    <w:rPr>
      <w:rFonts w:ascii="Times New Roman" w:hAnsi="Times New Roman"/>
      <w:sz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40675">
      <w:bodyDiv w:val="1"/>
      <w:marLeft w:val="0"/>
      <w:marRight w:val="0"/>
      <w:marTop w:val="0"/>
      <w:marBottom w:val="0"/>
      <w:divBdr>
        <w:top w:val="none" w:sz="0" w:space="0" w:color="auto"/>
        <w:left w:val="none" w:sz="0" w:space="0" w:color="auto"/>
        <w:bottom w:val="none" w:sz="0" w:space="0" w:color="auto"/>
        <w:right w:val="none" w:sz="0" w:space="0" w:color="auto"/>
      </w:divBdr>
    </w:div>
    <w:div w:id="359665252">
      <w:bodyDiv w:val="1"/>
      <w:marLeft w:val="0"/>
      <w:marRight w:val="0"/>
      <w:marTop w:val="0"/>
      <w:marBottom w:val="0"/>
      <w:divBdr>
        <w:top w:val="none" w:sz="0" w:space="0" w:color="auto"/>
        <w:left w:val="none" w:sz="0" w:space="0" w:color="auto"/>
        <w:bottom w:val="none" w:sz="0" w:space="0" w:color="auto"/>
        <w:right w:val="none" w:sz="0" w:space="0" w:color="auto"/>
      </w:divBdr>
    </w:div>
    <w:div w:id="888299140">
      <w:bodyDiv w:val="1"/>
      <w:marLeft w:val="0"/>
      <w:marRight w:val="0"/>
      <w:marTop w:val="0"/>
      <w:marBottom w:val="0"/>
      <w:divBdr>
        <w:top w:val="none" w:sz="0" w:space="0" w:color="auto"/>
        <w:left w:val="none" w:sz="0" w:space="0" w:color="auto"/>
        <w:bottom w:val="none" w:sz="0" w:space="0" w:color="auto"/>
        <w:right w:val="none" w:sz="0" w:space="0" w:color="auto"/>
      </w:divBdr>
    </w:div>
    <w:div w:id="1215778081">
      <w:bodyDiv w:val="1"/>
      <w:marLeft w:val="0"/>
      <w:marRight w:val="0"/>
      <w:marTop w:val="0"/>
      <w:marBottom w:val="0"/>
      <w:divBdr>
        <w:top w:val="none" w:sz="0" w:space="0" w:color="auto"/>
        <w:left w:val="none" w:sz="0" w:space="0" w:color="auto"/>
        <w:bottom w:val="none" w:sz="0" w:space="0" w:color="auto"/>
        <w:right w:val="none" w:sz="0" w:space="0" w:color="auto"/>
      </w:divBdr>
    </w:div>
    <w:div w:id="1719936756">
      <w:bodyDiv w:val="1"/>
      <w:marLeft w:val="0"/>
      <w:marRight w:val="0"/>
      <w:marTop w:val="0"/>
      <w:marBottom w:val="0"/>
      <w:divBdr>
        <w:top w:val="none" w:sz="0" w:space="0" w:color="auto"/>
        <w:left w:val="none" w:sz="0" w:space="0" w:color="auto"/>
        <w:bottom w:val="none" w:sz="0" w:space="0" w:color="auto"/>
        <w:right w:val="none" w:sz="0" w:space="0" w:color="auto"/>
      </w:divBdr>
    </w:div>
    <w:div w:id="2052923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tiff"/><Relationship Id="rId26" Type="http://schemas.microsoft.com/office/2007/relationships/diagramDrawing" Target="diagrams/drawing1.xml"/><Relationship Id="rId39" Type="http://schemas.openxmlformats.org/officeDocument/2006/relationships/hyperlink" Target="https://www.citylab.com/transportation/2018/03/quick-easy-way-to-build-a-bus-stop-zicla/554873/" TargetMode="External"/><Relationship Id="rId3" Type="http://schemas.openxmlformats.org/officeDocument/2006/relationships/customXml" Target="../customXml/item3.xml"/><Relationship Id="rId21" Type="http://schemas.openxmlformats.org/officeDocument/2006/relationships/image" Target="media/image5.tiff"/><Relationship Id="rId34" Type="http://schemas.openxmlformats.org/officeDocument/2006/relationships/hyperlink" Target="https://www.uia-initiative.eu/en/uia-cities/antwerp-call2" TargetMode="External"/><Relationship Id="rId42" Type="http://schemas.openxmlformats.org/officeDocument/2006/relationships/hyperlink" Target="https://www.ellenmacarthurfoundation.org/our-work/activities/ce10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tiff"/><Relationship Id="rId25" Type="http://schemas.openxmlformats.org/officeDocument/2006/relationships/diagramColors" Target="diagrams/colors1.xml"/><Relationship Id="rId33" Type="http://schemas.openxmlformats.org/officeDocument/2006/relationships/image" Target="media/image6.emf"/><Relationship Id="rId38" Type="http://schemas.openxmlformats.org/officeDocument/2006/relationships/hyperlink" Target="http://sustainability.bam.co.uk/case-studies/2018-01-08-elliot-hudson-colleg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diagramQuickStyle" Target="diagrams/quickStyle2.xml"/><Relationship Id="rId41" Type="http://schemas.openxmlformats.org/officeDocument/2006/relationships/hyperlink" Target="http://urbact.eu/2nd-ch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chart" Target="charts/chart1.xml"/><Relationship Id="rId37" Type="http://schemas.openxmlformats.org/officeDocument/2006/relationships/hyperlink" Target="https://sustainability.bam.co.uk/case-studies/2015-07-21-seven-pancras-square" TargetMode="External"/><Relationship Id="rId40" Type="http://schemas.openxmlformats.org/officeDocument/2006/relationships/hyperlink" Target="https://ec.europa.eu/futurium/en/system/files/ged/classification_of_urban_resource_centres_0.pdf"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www.housing.gov.ie/housing/home-ownership/vacant-homes/bringing-back-homes-manual-reuse-existing-buildings" TargetMode="External"/><Relationship Id="rId10" Type="http://schemas.openxmlformats.org/officeDocument/2006/relationships/footnotes" Target="footnotes.xml"/><Relationship Id="rId19" Type="http://schemas.openxmlformats.org/officeDocument/2006/relationships/image" Target="media/image5.png"/><Relationship Id="rId31"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www.deltadevelopment.eu/en/project-development/projectdevelopment/park-2020/" TargetMode="External"/><Relationship Id="rId43" Type="http://schemas.openxmlformats.org/officeDocument/2006/relationships/hyperlink" Target="https://www.bamb2020.e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ergy/en/topics/energy-strategy/clean-energy-all-europeans" TargetMode="External"/><Relationship Id="rId18" Type="http://schemas.openxmlformats.org/officeDocument/2006/relationships/hyperlink" Target="https://ec.europa.eu/futurium/en/culturecultural-heritage/espon-policy-brief-reuse-spaces-and-buildings.html" TargetMode="External"/><Relationship Id="rId26" Type="http://schemas.openxmlformats.org/officeDocument/2006/relationships/hyperlink" Target="https://www.dzs.hr/" TargetMode="External"/><Relationship Id="rId39" Type="http://schemas.openxmlformats.org/officeDocument/2006/relationships/hyperlink" Target="https://imovina.gov.hr/UserDocsImages//dokumenti/Izvjesca//Strategija%20Ministarstva%20dr&#382;avne%20imovine%20za%20razdoblje%202019-2025_2019_10_96_1863.pdf" TargetMode="External"/><Relationship Id="rId3" Type="http://schemas.openxmlformats.org/officeDocument/2006/relationships/hyperlink" Target="https://unfccc.int/process-and-meetings/the-paris-agreement/the-paris-agreement" TargetMode="External"/><Relationship Id="rId21" Type="http://schemas.openxmlformats.org/officeDocument/2006/relationships/hyperlink" Target="https://mgipu.gov.hr/o-ministarstvu-15/djelokrug/energetska-ucinkovitost-u-zgradarstvu/energetska-obnova-zgrada-8321/8321" TargetMode="External"/><Relationship Id="rId34" Type="http://schemas.openxmlformats.org/officeDocument/2006/relationships/hyperlink" Target="https://ec.europa.eu/environment/circular-economy/pdf/leading_way_global_circular_economy.pdf" TargetMode="External"/><Relationship Id="rId42" Type="http://schemas.openxmlformats.org/officeDocument/2006/relationships/hyperlink" Target="https://eur-lex.europa.eu/legal-content/HR/TXT/?uri=CELEX%3A32017R1084" TargetMode="External"/><Relationship Id="rId47" Type="http://schemas.openxmlformats.org/officeDocument/2006/relationships/hyperlink" Target="https://ec.europa.eu/regional_policy/sources/docgener/evaluation/doc/29112018/6_Indicators2021_evalnet.pdf" TargetMode="External"/><Relationship Id="rId7" Type="http://schemas.openxmlformats.org/officeDocument/2006/relationships/hyperlink" Target="https://ec.europa.eu/regional_policy/en/information/publications/brochures/2021/territorial-agenda-2030-a-future-for-all-places" TargetMode="External"/><Relationship Id="rId12" Type="http://schemas.openxmlformats.org/officeDocument/2006/relationships/hyperlink" Target="https://eur-lex.europa.eu/legal-content/EN/TXT/?uri=CELEX:52012DC0433" TargetMode="External"/><Relationship Id="rId17" Type="http://schemas.openxmlformats.org/officeDocument/2006/relationships/hyperlink" Target="https://eur-lex.europa.eu/legal-content/HR/TXT/HTML/?uri=CELEX:32021R1058&amp;qid=1631867395170&amp;from=EN" TargetMode="External"/><Relationship Id="rId25" Type="http://schemas.openxmlformats.org/officeDocument/2006/relationships/hyperlink" Target="https://ispu.mgipu.hr/" TargetMode="External"/><Relationship Id="rId33" Type="http://schemas.openxmlformats.org/officeDocument/2006/relationships/hyperlink" Target="https://ec.europa.eu/environment/eussd/buildings.htm" TargetMode="External"/><Relationship Id="rId38" Type="http://schemas.openxmlformats.org/officeDocument/2006/relationships/hyperlink" Target="https://ec.europa.eu/docsroom/documents/20509/" TargetMode="External"/><Relationship Id="rId46" Type="http://schemas.openxmlformats.org/officeDocument/2006/relationships/hyperlink" Target="https://eur-lex.europa.eu/legal-content/HR/TXT/PDF/?uri=CELEX:52018DC0029&amp;from=EN" TargetMode="External"/><Relationship Id="rId2" Type="http://schemas.openxmlformats.org/officeDocument/2006/relationships/hyperlink" Target="https://population.un.org/wup/Publications/Files/WUP2018-Report.pdf" TargetMode="External"/><Relationship Id="rId16" Type="http://schemas.openxmlformats.org/officeDocument/2006/relationships/hyperlink" Target="https://ec.europa.eu/transparency/regdoc/rep/1/2019/HR/COM-2019-175-F1-HR-MAIN-PART-1.PDF" TargetMode="External"/><Relationship Id="rId20" Type="http://schemas.openxmlformats.org/officeDocument/2006/relationships/hyperlink" Target="https://ec.europa.eu/energy/sites/ener/files/documents/hr_final_necp_main_hr.pdf" TargetMode="External"/><Relationship Id="rId29" Type="http://schemas.openxmlformats.org/officeDocument/2006/relationships/hyperlink" Target="https://ec.europa.eu/environment/waste/construction_demolition.htm" TargetMode="External"/><Relationship Id="rId41" Type="http://schemas.openxmlformats.org/officeDocument/2006/relationships/hyperlink" Target="https://eur-lex.europa.eu/legal-content/HR/ALL/?uri=CELEX%3A52016XC0719%2805%29" TargetMode="External"/><Relationship Id="rId1" Type="http://schemas.openxmlformats.org/officeDocument/2006/relationships/hyperlink" Target="https://www.un.org/en/development/desa/population/migration/generalassembly/docs/globalcompact/A_RES_71_256.pdf" TargetMode="External"/><Relationship Id="rId6" Type="http://schemas.openxmlformats.org/officeDocument/2006/relationships/hyperlink" Target="https://ec.europa.eu/regional_policy/en/information/publications/communications/2011/territorial-agenda-of-the-european-union-2020" TargetMode="External"/><Relationship Id="rId11" Type="http://schemas.openxmlformats.org/officeDocument/2006/relationships/hyperlink" Target="https://ec.europa.eu/environment/eussd/buildings.htm" TargetMode="External"/><Relationship Id="rId24" Type="http://schemas.openxmlformats.org/officeDocument/2006/relationships/hyperlink" Target="https://mgipu.gov.hr/" TargetMode="External"/><Relationship Id="rId32" Type="http://schemas.openxmlformats.org/officeDocument/2006/relationships/hyperlink" Target="https://www.iucn.org/commissions/commission-ecosystem-management/our-work/nature-based-solutions" TargetMode="External"/><Relationship Id="rId37" Type="http://schemas.openxmlformats.org/officeDocument/2006/relationships/hyperlink" Target="https://eur-lex.europa.eu/legal-content/HR/TXT/?uri=CELEX%3A32008L0098" TargetMode="External"/><Relationship Id="rId40" Type="http://schemas.openxmlformats.org/officeDocument/2006/relationships/hyperlink" Target="https://eur-lex.europa.eu/legal-content/HR/TXT/?uri=CELEX%3A12016ME%2FTXT" TargetMode="External"/><Relationship Id="rId45" Type="http://schemas.openxmlformats.org/officeDocument/2006/relationships/hyperlink" Target="https://mfin.gov.hr/istaknute-teme/koncesije-drzavne-potpore%20/drzavne-potpore/drzavne-potpore-i-plan-oporavka-i-otpornosti/3141" TargetMode="External"/><Relationship Id="rId5" Type="http://schemas.openxmlformats.org/officeDocument/2006/relationships/hyperlink" Target="https://ec.europa.eu/futurium/en/urban-agenda" TargetMode="External"/><Relationship Id="rId15" Type="http://schemas.openxmlformats.org/officeDocument/2006/relationships/hyperlink" Target="https://ec.europa.eu/docsroom/documents/39984" TargetMode="External"/><Relationship Id="rId23" Type="http://schemas.openxmlformats.org/officeDocument/2006/relationships/hyperlink" Target="https://sabor.hr/sites/default/files/uploads/sabor/2021-02-25/154403/IZVJ_STANJE_U_PROSTORU_RH_2013-2019.pdf" TargetMode="External"/><Relationship Id="rId28" Type="http://schemas.openxmlformats.org/officeDocument/2006/relationships/hyperlink" Target="https://docs.google.com/forms/d/e/1FAIpQLSf99dEUkt0uYkQzMOfiZwtGrauKI3udlaxrTxlNsSfgSZ_hHw/viewform" TargetMode="External"/><Relationship Id="rId36" Type="http://schemas.openxmlformats.org/officeDocument/2006/relationships/hyperlink" Target="https://www.dzs.hr/Hrv_Eng/ljetopis/2017/sljh2017.pdf" TargetMode="External"/><Relationship Id="rId49" Type="http://schemas.openxmlformats.org/officeDocument/2006/relationships/hyperlink" Target="https://planoporavka.gov.hr/" TargetMode="External"/><Relationship Id="rId10" Type="http://schemas.openxmlformats.org/officeDocument/2006/relationships/hyperlink" Target="https://eur-lex.europa.eu/legal-content/HR/TXT/?qid=1585811887070&amp;uri=CELEX:52020DC0098" TargetMode="External"/><Relationship Id="rId19" Type="http://schemas.openxmlformats.org/officeDocument/2006/relationships/hyperlink" Target="https://narodne-novine.nn.hr/clanci/sluzbeni/2021_02_13_230.html" TargetMode="External"/><Relationship Id="rId31" Type="http://schemas.openxmlformats.org/officeDocument/2006/relationships/hyperlink" Target="https://eur-lex.europa.eu/legal-content/HR/TXT/?uri=CELEX%3A52014DC0445" TargetMode="External"/><Relationship Id="rId44" Type="http://schemas.openxmlformats.org/officeDocument/2006/relationships/hyperlink" Target="https://ec.europa.eu/competition/state_aid/modernisation/intro_grid_en.pdf" TargetMode="External"/><Relationship Id="rId4" Type="http://schemas.openxmlformats.org/officeDocument/2006/relationships/hyperlink" Target="https://strukturnifondovi.hr/wp-content/uploads/2017/03/Strategija-EUROPA-2020.-hr.pdf" TargetMode="External"/><Relationship Id="rId9" Type="http://schemas.openxmlformats.org/officeDocument/2006/relationships/hyperlink" Target="https://eur-lex.europa.eu/legal-content/HR/TXT/HTML/?uri=CELEX:52015DC0614&amp;from=HR" TargetMode="External"/><Relationship Id="rId14" Type="http://schemas.openxmlformats.org/officeDocument/2006/relationships/hyperlink" Target="https://ec.europa.eu/growth/content/eu-construction-and-demolition-waste-protocol-0_en" TargetMode="External"/><Relationship Id="rId22" Type="http://schemas.openxmlformats.org/officeDocument/2006/relationships/hyperlink" Target="https://mgipu.gov.hr/UserDocsImages/dokumenti/EnergetskaUcinkovitost/DSO_14.12.2020.pdf" TargetMode="External"/><Relationship Id="rId27" Type="http://schemas.openxmlformats.org/officeDocument/2006/relationships/hyperlink" Target="https://mgipu.gov.hr/vijesti/u-zagrebu-odrzana-konferencija-zelena-buducnost-grada/10428" TargetMode="External"/><Relationship Id="rId30" Type="http://schemas.openxmlformats.org/officeDocument/2006/relationships/hyperlink" Target="https://eur-lex.europa.eu/legal-content/EN/TXT/?uri=celex%3A52012DC0433" TargetMode="External"/><Relationship Id="rId35" Type="http://schemas.openxmlformats.org/officeDocument/2006/relationships/hyperlink" Target="https://civilna-zastita.gov.hr/UserDocsImages/CIVILNA%20ZA%C5%A0TITA/PDF_ZA%20WEB/Procjena_rizika%20od%20katastrofa_2019.pdf" TargetMode="External"/><Relationship Id="rId43" Type="http://schemas.openxmlformats.org/officeDocument/2006/relationships/hyperlink" Target="https://eur-lex.europa.eu/legal-content/HR/TXT/PDF/?uri=CELEX:32021R1237&amp;from=HR" TargetMode="External"/><Relationship Id="rId48" Type="http://schemas.openxmlformats.org/officeDocument/2006/relationships/hyperlink" Target="https://ec.europa.eu/croatia/news/croatia_submits_official_recovery_and_resilience_plans_hr" TargetMode="External"/><Relationship Id="rId8" Type="http://schemas.openxmlformats.org/officeDocument/2006/relationships/hyperlink" Target="https://ec.europa.eu/regional_policy/en/information/publications/brochures/2020/new-leipzig-charter-the-transformative-power-of-cities-for-the-common-goo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AF\AF\Knjiga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82633491316"/>
          <c:y val="4.95810763162014E-2"/>
          <c:w val="0.81579911392133997"/>
          <c:h val="0.78947223036171699"/>
        </c:manualLayout>
      </c:layout>
      <c:barChart>
        <c:barDir val="bar"/>
        <c:grouping val="clustered"/>
        <c:varyColors val="0"/>
        <c:ser>
          <c:idx val="0"/>
          <c:order val="0"/>
          <c:tx>
            <c:strRef>
              <c:f>Završene zgrade (m2)</c:f>
              <c:strCache>
                <c:ptCount val="1"/>
                <c:pt idx="0">
                  <c:v>Završene zgrade (m2)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dijagram!$C$7:$K$7</c:f>
              <c:numCache>
                <c:formatCode>@</c:formatCode>
                <c:ptCount val="9"/>
                <c:pt idx="0">
                  <c:v>2010</c:v>
                </c:pt>
                <c:pt idx="1">
                  <c:v>2011</c:v>
                </c:pt>
                <c:pt idx="2">
                  <c:v>2012</c:v>
                </c:pt>
                <c:pt idx="3">
                  <c:v>2013</c:v>
                </c:pt>
                <c:pt idx="4">
                  <c:v>2014</c:v>
                </c:pt>
                <c:pt idx="5">
                  <c:v>2015</c:v>
                </c:pt>
                <c:pt idx="6">
                  <c:v>2016</c:v>
                </c:pt>
                <c:pt idx="7">
                  <c:v>2017</c:v>
                </c:pt>
                <c:pt idx="8">
                  <c:v>2018</c:v>
                </c:pt>
              </c:numCache>
            </c:numRef>
          </c:cat>
          <c:val>
            <c:numRef>
              <c:f>dijagram!$C$8:$K$8</c:f>
              <c:numCache>
                <c:formatCode>#,##0</c:formatCode>
                <c:ptCount val="9"/>
                <c:pt idx="0">
                  <c:v>3352329</c:v>
                </c:pt>
                <c:pt idx="1">
                  <c:v>2660604</c:v>
                </c:pt>
                <c:pt idx="2">
                  <c:v>2690013</c:v>
                </c:pt>
                <c:pt idx="3">
                  <c:v>1943383</c:v>
                </c:pt>
                <c:pt idx="4">
                  <c:v>1658467</c:v>
                </c:pt>
                <c:pt idx="5">
                  <c:v>1898127</c:v>
                </c:pt>
                <c:pt idx="6">
                  <c:v>1832144</c:v>
                </c:pt>
                <c:pt idx="7">
                  <c:v>2029111</c:v>
                </c:pt>
                <c:pt idx="8">
                  <c:v>2026821</c:v>
                </c:pt>
              </c:numCache>
            </c:numRef>
          </c:val>
          <c:extLst>
            <c:ext xmlns:c16="http://schemas.microsoft.com/office/drawing/2014/chart" uri="{C3380CC4-5D6E-409C-BE32-E72D297353CC}">
              <c16:uniqueId val="{00000000-A57F-42E3-8EF4-1F78CD7429BC}"/>
            </c:ext>
          </c:extLst>
        </c:ser>
        <c:ser>
          <c:idx val="1"/>
          <c:order val="1"/>
          <c:tx>
            <c:strRef>
              <c:f>dijagram!$B$9</c:f>
              <c:strCache>
                <c:ptCount val="1"/>
                <c:pt idx="0">
                  <c:v>Srušena površina (m2)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dijagram!$C$7:$K$7</c:f>
              <c:numCache>
                <c:formatCode>@</c:formatCode>
                <c:ptCount val="9"/>
                <c:pt idx="0">
                  <c:v>2010</c:v>
                </c:pt>
                <c:pt idx="1">
                  <c:v>2011</c:v>
                </c:pt>
                <c:pt idx="2">
                  <c:v>2012</c:v>
                </c:pt>
                <c:pt idx="3">
                  <c:v>2013</c:v>
                </c:pt>
                <c:pt idx="4">
                  <c:v>2014</c:v>
                </c:pt>
                <c:pt idx="5">
                  <c:v>2015</c:v>
                </c:pt>
                <c:pt idx="6">
                  <c:v>2016</c:v>
                </c:pt>
                <c:pt idx="7">
                  <c:v>2017</c:v>
                </c:pt>
                <c:pt idx="8">
                  <c:v>2018</c:v>
                </c:pt>
              </c:numCache>
            </c:numRef>
          </c:cat>
          <c:val>
            <c:numRef>
              <c:f>dijagram!$C$9:$K$9</c:f>
              <c:numCache>
                <c:formatCode>#,##0</c:formatCode>
                <c:ptCount val="9"/>
                <c:pt idx="0">
                  <c:v>36568</c:v>
                </c:pt>
                <c:pt idx="1">
                  <c:v>43346</c:v>
                </c:pt>
                <c:pt idx="2">
                  <c:v>37322</c:v>
                </c:pt>
                <c:pt idx="3">
                  <c:v>17860</c:v>
                </c:pt>
                <c:pt idx="4">
                  <c:v>37404</c:v>
                </c:pt>
                <c:pt idx="5">
                  <c:v>26757</c:v>
                </c:pt>
                <c:pt idx="6">
                  <c:v>21502</c:v>
                </c:pt>
                <c:pt idx="7">
                  <c:v>36293</c:v>
                </c:pt>
                <c:pt idx="8">
                  <c:v>42976</c:v>
                </c:pt>
              </c:numCache>
            </c:numRef>
          </c:val>
          <c:extLst>
            <c:ext xmlns:c16="http://schemas.microsoft.com/office/drawing/2014/chart" uri="{C3380CC4-5D6E-409C-BE32-E72D297353CC}">
              <c16:uniqueId val="{00000001-A57F-42E3-8EF4-1F78CD7429BC}"/>
            </c:ext>
          </c:extLst>
        </c:ser>
        <c:dLbls>
          <c:showLegendKey val="0"/>
          <c:showVal val="1"/>
          <c:showCatName val="0"/>
          <c:showSerName val="0"/>
          <c:showPercent val="0"/>
          <c:showBubbleSize val="0"/>
        </c:dLbls>
        <c:gapWidth val="81"/>
        <c:overlap val="-20"/>
        <c:axId val="442652688"/>
        <c:axId val="442655824"/>
      </c:barChart>
      <c:dateAx>
        <c:axId val="442652688"/>
        <c:scaling>
          <c:orientation val="minMax"/>
        </c:scaling>
        <c:delete val="0"/>
        <c:axPos val="l"/>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hr-HR"/>
                  <a:t>Godina</a:t>
                </a:r>
              </a:p>
            </c:rich>
          </c:tx>
          <c:layout>
            <c:manualLayout>
              <c:xMode val="edge"/>
              <c:yMode val="edge"/>
              <c:x val="1.18404599132283E-2"/>
              <c:y val="0.385211734609123"/>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title>
        <c:numFmt formatCode="@"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442655824"/>
        <c:crosses val="autoZero"/>
        <c:auto val="0"/>
        <c:lblOffset val="100"/>
        <c:baseTimeUnit val="days"/>
      </c:dateAx>
      <c:valAx>
        <c:axId val="442655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hr-HR" sz="3600">
                    <a:solidFill>
                      <a:schemeClr val="accent2">
                        <a:lumMod val="75000"/>
                      </a:schemeClr>
                    </a:solidFill>
                  </a:rPr>
                  <a:t>.</a:t>
                </a:r>
                <a:r>
                  <a:rPr lang="hr-HR"/>
                  <a:t>ukonjena površina (</a:t>
                </a:r>
                <a:r>
                  <a:rPr lang="hr-HR" sz="900" b="0" i="0" u="none" strike="noStrike" baseline="0">
                    <a:effectLst/>
                  </a:rPr>
                  <a:t>m</a:t>
                </a:r>
                <a:r>
                  <a:rPr lang="hr-HR" sz="900" b="0" i="0" u="none" strike="noStrike" baseline="30000">
                    <a:effectLst/>
                  </a:rPr>
                  <a:t>2</a:t>
                </a:r>
                <a:r>
                  <a:rPr lang="hr-HR"/>
                  <a:t>)</a:t>
                </a:r>
                <a:r>
                  <a:rPr lang="hr-HR" baseline="0"/>
                  <a:t> </a:t>
                </a:r>
                <a:r>
                  <a:rPr lang="hr-HR" sz="3600" b="0" i="0" u="none" strike="noStrike" baseline="0">
                    <a:solidFill>
                      <a:schemeClr val="accent2">
                        <a:lumMod val="60000"/>
                        <a:lumOff val="40000"/>
                      </a:schemeClr>
                    </a:solidFill>
                    <a:effectLst/>
                  </a:rPr>
                  <a:t>.</a:t>
                </a:r>
                <a:r>
                  <a:rPr lang="hr-HR"/>
                  <a:t>završene</a:t>
                </a:r>
                <a:r>
                  <a:rPr lang="hr-HR" baseline="0"/>
                  <a:t> zgrade </a:t>
                </a:r>
                <a:r>
                  <a:rPr lang="hr-HR" sz="900" b="0" i="0" u="none" strike="noStrike" baseline="0">
                    <a:effectLst/>
                  </a:rPr>
                  <a:t>(m</a:t>
                </a:r>
                <a:r>
                  <a:rPr lang="hr-HR" sz="900" b="0" i="0" u="none" strike="noStrike" baseline="30000">
                    <a:effectLst/>
                  </a:rPr>
                  <a:t>2</a:t>
                </a:r>
                <a:r>
                  <a:rPr lang="hr-HR" sz="900" b="0" i="0" u="none" strike="noStrike" baseline="0">
                    <a:effectLst/>
                  </a:rPr>
                  <a:t>) </a:t>
                </a:r>
                <a:r>
                  <a:rPr lang="hr-HR" baseline="0"/>
                  <a:t> </a:t>
                </a:r>
                <a:endParaRPr lang="hr-HR"/>
              </a:p>
            </c:rich>
          </c:tx>
          <c:layout>
            <c:manualLayout>
              <c:xMode val="edge"/>
              <c:yMode val="edge"/>
              <c:x val="0.28860565581053299"/>
              <c:y val="0.905395768956500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44265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5_5#2">
  <dgm:title val=""/>
  <dgm:desc val=""/>
  <dgm:catLst>
    <dgm:cat type="accent5" pri="11500"/>
  </dgm:catLst>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9FC2230-F449-42CF-BB38-6B2996EF3A2B}" type="doc">
      <dgm:prSet loTypeId="urn:microsoft.com/office/officeart/2008/layout/LinedList" loCatId="list" qsTypeId="urn:microsoft.com/office/officeart/2005/8/quickstyle/simple4#2" qsCatId="simple" csTypeId="urn:microsoft.com/office/officeart/2005/8/colors/accent5_5#2" csCatId="accent5" phldr="1"/>
      <dgm:spPr/>
      <dgm:t>
        <a:bodyPr/>
        <a:lstStyle/>
        <a:p>
          <a:endParaRPr lang="hr-HR"/>
        </a:p>
      </dgm:t>
    </dgm:pt>
    <dgm:pt modelId="{6047C6CB-B016-49ED-8FF4-88334E830872}">
      <dgm:prSet custT="1"/>
      <dgm:spPr/>
      <dgm:t>
        <a:bodyPr/>
        <a:lstStyle/>
        <a:p>
          <a:pPr>
            <a:buFont typeface="Cambria" panose="02040503050406030204" pitchFamily="18" charset="0"/>
            <a:buChar char="-"/>
          </a:pPr>
          <a:r>
            <a:rPr lang="hr-HR" sz="1200" b="0">
              <a:latin typeface="Times New Roman" panose="02020603050405020304" charset="0"/>
              <a:cs typeface="Times New Roman" panose="02020603050405020304" charset="0"/>
            </a:rPr>
            <a:t>kružna obnova i reprogramiranje korištenih prostora i zgrada</a:t>
          </a:r>
          <a:endParaRPr lang="hr-HR" sz="1200" b="1">
            <a:latin typeface="Times New Roman" panose="02020603050405020304" charset="0"/>
            <a:cs typeface="Times New Roman" panose="02020603050405020304" charset="0"/>
          </a:endParaRPr>
        </a:p>
      </dgm:t>
    </dgm:pt>
    <dgm:pt modelId="{199C7C2E-B7DD-4AB1-BD12-AD42F0AF4B6D}" type="parTrans" cxnId="{C403FDE9-8506-4EB6-9AA0-8BF8CE978E21}">
      <dgm:prSet/>
      <dgm:spPr/>
      <dgm:t>
        <a:bodyPr/>
        <a:lstStyle/>
        <a:p>
          <a:endParaRPr lang="hr-HR" sz="1100">
            <a:latin typeface="Calibri" panose="020F0502020204030204" pitchFamily="2" charset="0"/>
            <a:cs typeface="Calibri" panose="020F0502020204030204" pitchFamily="2" charset="0"/>
          </a:endParaRPr>
        </a:p>
      </dgm:t>
    </dgm:pt>
    <dgm:pt modelId="{49AEFEA1-767D-4A38-BF66-BC11B6817962}" type="sibTrans" cxnId="{C403FDE9-8506-4EB6-9AA0-8BF8CE978E21}">
      <dgm:prSet/>
      <dgm:spPr/>
      <dgm:t>
        <a:bodyPr/>
        <a:lstStyle/>
        <a:p>
          <a:endParaRPr lang="hr-HR" sz="1100">
            <a:latin typeface="Calibri" panose="020F0502020204030204" pitchFamily="2" charset="0"/>
            <a:cs typeface="Calibri" panose="020F0502020204030204" pitchFamily="2" charset="0"/>
          </a:endParaRPr>
        </a:p>
      </dgm:t>
    </dgm:pt>
    <dgm:pt modelId="{20BAB167-13FC-4F79-A47D-B7A3A89ED039}">
      <dgm:prSet custT="1"/>
      <dgm:spPr/>
      <dgm:t>
        <a:bodyPr/>
        <a:lstStyle/>
        <a:p>
          <a:pPr>
            <a:buFont typeface="Cambria" panose="02040503050406030204" pitchFamily="18" charset="0"/>
            <a:buChar char="-"/>
          </a:pPr>
          <a:r>
            <a:rPr lang="hr-HR" sz="1200" b="0">
              <a:latin typeface="Times New Roman" panose="02020603050405020304" charset="0"/>
              <a:cs typeface="Times New Roman" panose="02020603050405020304" charset="0"/>
            </a:rPr>
            <a:t>planiranje i gradnja novih zgrada u skladu s kružnim gospodarstvom</a:t>
          </a:r>
          <a:endParaRPr lang="hr-HR" sz="1200">
            <a:latin typeface="Times New Roman" panose="02020603050405020304" charset="0"/>
            <a:cs typeface="Times New Roman" panose="02020603050405020304" charset="0"/>
          </a:endParaRPr>
        </a:p>
      </dgm:t>
    </dgm:pt>
    <dgm:pt modelId="{614D1FCE-738C-464A-B802-6A6D5D0A36B8}" type="sibTrans" cxnId="{53A4A7F0-4C1D-4A31-82BA-1A148C94DBC9}">
      <dgm:prSet/>
      <dgm:spPr/>
      <dgm:t>
        <a:bodyPr/>
        <a:lstStyle/>
        <a:p>
          <a:endParaRPr lang="hr-HR" sz="1100">
            <a:latin typeface="Calibri" panose="020F0502020204030204" pitchFamily="2" charset="0"/>
            <a:cs typeface="Calibri" panose="020F0502020204030204" pitchFamily="2" charset="0"/>
          </a:endParaRPr>
        </a:p>
      </dgm:t>
    </dgm:pt>
    <dgm:pt modelId="{5CBFD3B4-FC6D-4609-9333-1F6CC590365F}" type="parTrans" cxnId="{53A4A7F0-4C1D-4A31-82BA-1A148C94DBC9}">
      <dgm:prSet/>
      <dgm:spPr/>
      <dgm:t>
        <a:bodyPr/>
        <a:lstStyle/>
        <a:p>
          <a:endParaRPr lang="hr-HR" sz="1100">
            <a:latin typeface="Calibri" panose="020F0502020204030204" pitchFamily="2" charset="0"/>
            <a:cs typeface="Calibri" panose="020F0502020204030204" pitchFamily="2" charset="0"/>
          </a:endParaRPr>
        </a:p>
      </dgm:t>
    </dgm:pt>
    <dgm:pt modelId="{B5854C4F-0CC5-4561-8281-9BFBAFECCA33}">
      <dgm:prSet custT="1"/>
      <dgm:spPr/>
      <dgm:t>
        <a:bodyPr/>
        <a:lstStyle/>
        <a:p>
          <a:pPr>
            <a:buFont typeface="Cambria" panose="02040503050406030204" pitchFamily="18" charset="0"/>
            <a:buChar char="-"/>
          </a:pPr>
          <a:r>
            <a:rPr lang="hr-HR" sz="1100" b="0">
              <a:latin typeface="Calibri" panose="020F0502020204030204" pitchFamily="2" charset="0"/>
              <a:cs typeface="Calibri" panose="020F0502020204030204" pitchFamily="2" charset="0"/>
            </a:rPr>
            <a:t> </a:t>
          </a:r>
          <a:r>
            <a:rPr lang="hr-HR" sz="1200" b="0">
              <a:latin typeface="Times New Roman" panose="02020603050405020304" charset="0"/>
              <a:cs typeface="Times New Roman" panose="02020603050405020304" charset="0"/>
            </a:rPr>
            <a:t>revitalizacija i obnova nekorištenih prostora i zgrada</a:t>
          </a:r>
          <a:endParaRPr lang="hr-HR" sz="1200">
            <a:latin typeface="Times New Roman" panose="02020603050405020304" charset="0"/>
            <a:cs typeface="Times New Roman" panose="02020603050405020304" charset="0"/>
          </a:endParaRPr>
        </a:p>
      </dgm:t>
    </dgm:pt>
    <dgm:pt modelId="{C4D713B8-A08A-4AD6-BC80-B77F9C00F6E9}" type="sibTrans" cxnId="{085D4CE8-F3E3-4A0A-966C-F80CD39C81FF}">
      <dgm:prSet/>
      <dgm:spPr/>
      <dgm:t>
        <a:bodyPr/>
        <a:lstStyle/>
        <a:p>
          <a:endParaRPr lang="hr-HR"/>
        </a:p>
      </dgm:t>
    </dgm:pt>
    <dgm:pt modelId="{FF732070-764E-4B5D-B9EA-FF3901706046}" type="parTrans" cxnId="{085D4CE8-F3E3-4A0A-966C-F80CD39C81FF}">
      <dgm:prSet/>
      <dgm:spPr/>
      <dgm:t>
        <a:bodyPr/>
        <a:lstStyle/>
        <a:p>
          <a:endParaRPr lang="hr-HR"/>
        </a:p>
      </dgm:t>
    </dgm:pt>
    <dgm:pt modelId="{14109B51-25FC-4DE5-A388-02AA26B7F9A3}" type="pres">
      <dgm:prSet presAssocID="{79FC2230-F449-42CF-BB38-6B2996EF3A2B}" presName="vert0" presStyleCnt="0">
        <dgm:presLayoutVars>
          <dgm:dir/>
          <dgm:animOne val="branch"/>
          <dgm:animLvl val="lvl"/>
        </dgm:presLayoutVars>
      </dgm:prSet>
      <dgm:spPr/>
    </dgm:pt>
    <dgm:pt modelId="{87BCAB9F-8C8A-4DD3-BFB9-DF50E81834C0}" type="pres">
      <dgm:prSet presAssocID="{20BAB167-13FC-4F79-A47D-B7A3A89ED039}" presName="thickLine" presStyleLbl="alignNode1" presStyleIdx="0" presStyleCnt="3"/>
      <dgm:spPr/>
    </dgm:pt>
    <dgm:pt modelId="{AB3CD205-9FE3-41BB-89A9-771BF5B005F8}" type="pres">
      <dgm:prSet presAssocID="{20BAB167-13FC-4F79-A47D-B7A3A89ED039}" presName="horz1" presStyleCnt="0"/>
      <dgm:spPr/>
    </dgm:pt>
    <dgm:pt modelId="{059A85D5-3093-4A4D-912D-E5E0128E46C5}" type="pres">
      <dgm:prSet presAssocID="{20BAB167-13FC-4F79-A47D-B7A3A89ED039}" presName="tx1" presStyleLbl="revTx" presStyleIdx="0" presStyleCnt="3"/>
      <dgm:spPr/>
    </dgm:pt>
    <dgm:pt modelId="{A2C8723D-2946-402D-831B-5A8B4866507A}" type="pres">
      <dgm:prSet presAssocID="{20BAB167-13FC-4F79-A47D-B7A3A89ED039}" presName="vert1" presStyleCnt="0"/>
      <dgm:spPr/>
    </dgm:pt>
    <dgm:pt modelId="{8F1FD2F6-3A2D-4EF8-93A2-D071668901D8}" type="pres">
      <dgm:prSet presAssocID="{B5854C4F-0CC5-4561-8281-9BFBAFECCA33}" presName="thickLine" presStyleLbl="alignNode1" presStyleIdx="1" presStyleCnt="3"/>
      <dgm:spPr/>
    </dgm:pt>
    <dgm:pt modelId="{C58142A3-B382-4056-9145-51007C1BDF90}" type="pres">
      <dgm:prSet presAssocID="{B5854C4F-0CC5-4561-8281-9BFBAFECCA33}" presName="horz1" presStyleCnt="0"/>
      <dgm:spPr/>
    </dgm:pt>
    <dgm:pt modelId="{62ED3A6A-3F56-40E0-BFF9-95B27CC42053}" type="pres">
      <dgm:prSet presAssocID="{B5854C4F-0CC5-4561-8281-9BFBAFECCA33}" presName="tx1" presStyleLbl="revTx" presStyleIdx="1" presStyleCnt="3"/>
      <dgm:spPr/>
    </dgm:pt>
    <dgm:pt modelId="{49A80C44-16BE-489B-9CB0-BCD7F96708FA}" type="pres">
      <dgm:prSet presAssocID="{B5854C4F-0CC5-4561-8281-9BFBAFECCA33}" presName="vert1" presStyleCnt="0"/>
      <dgm:spPr/>
    </dgm:pt>
    <dgm:pt modelId="{EB6A19B3-8EE9-4E1C-B305-C0BAA30289BD}" type="pres">
      <dgm:prSet presAssocID="{6047C6CB-B016-49ED-8FF4-88334E830872}" presName="thickLine" presStyleLbl="alignNode1" presStyleIdx="2" presStyleCnt="3"/>
      <dgm:spPr/>
    </dgm:pt>
    <dgm:pt modelId="{6112FE97-0B3D-4817-8910-2B0C5B16A1AE}" type="pres">
      <dgm:prSet presAssocID="{6047C6CB-B016-49ED-8FF4-88334E830872}" presName="horz1" presStyleCnt="0"/>
      <dgm:spPr/>
    </dgm:pt>
    <dgm:pt modelId="{93F80FF3-1FE3-4931-A114-CEA80B9A943E}" type="pres">
      <dgm:prSet presAssocID="{6047C6CB-B016-49ED-8FF4-88334E830872}" presName="tx1" presStyleLbl="revTx" presStyleIdx="2" presStyleCnt="3"/>
      <dgm:spPr/>
    </dgm:pt>
    <dgm:pt modelId="{D5019B9A-369F-404E-BB3D-02F8940740F5}" type="pres">
      <dgm:prSet presAssocID="{6047C6CB-B016-49ED-8FF4-88334E830872}" presName="vert1" presStyleCnt="0"/>
      <dgm:spPr/>
    </dgm:pt>
  </dgm:ptLst>
  <dgm:cxnLst>
    <dgm:cxn modelId="{1667F710-EC41-454A-993C-1010DB49DA71}" type="presOf" srcId="{79FC2230-F449-42CF-BB38-6B2996EF3A2B}" destId="{14109B51-25FC-4DE5-A388-02AA26B7F9A3}" srcOrd="0" destOrd="0" presId="urn:microsoft.com/office/officeart/2008/layout/LinedList"/>
    <dgm:cxn modelId="{4E04CAB4-CDD5-4E7D-B7A9-110DFA03D415}" type="presOf" srcId="{6047C6CB-B016-49ED-8FF4-88334E830872}" destId="{93F80FF3-1FE3-4931-A114-CEA80B9A943E}" srcOrd="0" destOrd="0" presId="urn:microsoft.com/office/officeart/2008/layout/LinedList"/>
    <dgm:cxn modelId="{683786C2-3B3B-43C9-88E6-1131A70FF1C2}" type="presOf" srcId="{20BAB167-13FC-4F79-A47D-B7A3A89ED039}" destId="{059A85D5-3093-4A4D-912D-E5E0128E46C5}" srcOrd="0" destOrd="0" presId="urn:microsoft.com/office/officeart/2008/layout/LinedList"/>
    <dgm:cxn modelId="{D5EC01CB-B96E-4AFF-92B9-1982F2D18B64}" type="presOf" srcId="{B5854C4F-0CC5-4561-8281-9BFBAFECCA33}" destId="{62ED3A6A-3F56-40E0-BFF9-95B27CC42053}" srcOrd="0" destOrd="0" presId="urn:microsoft.com/office/officeart/2008/layout/LinedList"/>
    <dgm:cxn modelId="{085D4CE8-F3E3-4A0A-966C-F80CD39C81FF}" srcId="{79FC2230-F449-42CF-BB38-6B2996EF3A2B}" destId="{B5854C4F-0CC5-4561-8281-9BFBAFECCA33}" srcOrd="1" destOrd="0" parTransId="{FF732070-764E-4B5D-B9EA-FF3901706046}" sibTransId="{C4D713B8-A08A-4AD6-BC80-B77F9C00F6E9}"/>
    <dgm:cxn modelId="{C403FDE9-8506-4EB6-9AA0-8BF8CE978E21}" srcId="{79FC2230-F449-42CF-BB38-6B2996EF3A2B}" destId="{6047C6CB-B016-49ED-8FF4-88334E830872}" srcOrd="2" destOrd="0" parTransId="{199C7C2E-B7DD-4AB1-BD12-AD42F0AF4B6D}" sibTransId="{49AEFEA1-767D-4A38-BF66-BC11B6817962}"/>
    <dgm:cxn modelId="{53A4A7F0-4C1D-4A31-82BA-1A148C94DBC9}" srcId="{79FC2230-F449-42CF-BB38-6B2996EF3A2B}" destId="{20BAB167-13FC-4F79-A47D-B7A3A89ED039}" srcOrd="0" destOrd="0" parTransId="{5CBFD3B4-FC6D-4609-9333-1F6CC590365F}" sibTransId="{614D1FCE-738C-464A-B802-6A6D5D0A36B8}"/>
    <dgm:cxn modelId="{1DFA7966-CA7F-4F1E-A3CB-0867859FEB01}" type="presParOf" srcId="{14109B51-25FC-4DE5-A388-02AA26B7F9A3}" destId="{87BCAB9F-8C8A-4DD3-BFB9-DF50E81834C0}" srcOrd="0" destOrd="0" presId="urn:microsoft.com/office/officeart/2008/layout/LinedList"/>
    <dgm:cxn modelId="{6DA61897-F68D-430F-A77A-D0A0268AC55D}" type="presParOf" srcId="{14109B51-25FC-4DE5-A388-02AA26B7F9A3}" destId="{AB3CD205-9FE3-41BB-89A9-771BF5B005F8}" srcOrd="1" destOrd="0" presId="urn:microsoft.com/office/officeart/2008/layout/LinedList"/>
    <dgm:cxn modelId="{C53517B5-343A-4CB4-B4D8-49F27E897860}" type="presParOf" srcId="{AB3CD205-9FE3-41BB-89A9-771BF5B005F8}" destId="{059A85D5-3093-4A4D-912D-E5E0128E46C5}" srcOrd="0" destOrd="0" presId="urn:microsoft.com/office/officeart/2008/layout/LinedList"/>
    <dgm:cxn modelId="{4BF785BF-0E9D-4835-A171-679F4277A2A1}" type="presParOf" srcId="{AB3CD205-9FE3-41BB-89A9-771BF5B005F8}" destId="{A2C8723D-2946-402D-831B-5A8B4866507A}" srcOrd="1" destOrd="0" presId="urn:microsoft.com/office/officeart/2008/layout/LinedList"/>
    <dgm:cxn modelId="{6D6DC6C1-3932-45E9-AD2D-07F188CF4097}" type="presParOf" srcId="{14109B51-25FC-4DE5-A388-02AA26B7F9A3}" destId="{8F1FD2F6-3A2D-4EF8-93A2-D071668901D8}" srcOrd="2" destOrd="0" presId="urn:microsoft.com/office/officeart/2008/layout/LinedList"/>
    <dgm:cxn modelId="{6CE78B36-D4EC-4694-BF94-22D8369C6724}" type="presParOf" srcId="{14109B51-25FC-4DE5-A388-02AA26B7F9A3}" destId="{C58142A3-B382-4056-9145-51007C1BDF90}" srcOrd="3" destOrd="0" presId="urn:microsoft.com/office/officeart/2008/layout/LinedList"/>
    <dgm:cxn modelId="{4BCECB26-5F05-48F8-A419-4EC6F49D054D}" type="presParOf" srcId="{C58142A3-B382-4056-9145-51007C1BDF90}" destId="{62ED3A6A-3F56-40E0-BFF9-95B27CC42053}" srcOrd="0" destOrd="0" presId="urn:microsoft.com/office/officeart/2008/layout/LinedList"/>
    <dgm:cxn modelId="{41571AED-523F-421E-8214-2C70D08A7659}" type="presParOf" srcId="{C58142A3-B382-4056-9145-51007C1BDF90}" destId="{49A80C44-16BE-489B-9CB0-BCD7F96708FA}" srcOrd="1" destOrd="0" presId="urn:microsoft.com/office/officeart/2008/layout/LinedList"/>
    <dgm:cxn modelId="{5BB9880F-30B9-4C83-B396-3832D3443C63}" type="presParOf" srcId="{14109B51-25FC-4DE5-A388-02AA26B7F9A3}" destId="{EB6A19B3-8EE9-4E1C-B305-C0BAA30289BD}" srcOrd="4" destOrd="0" presId="urn:microsoft.com/office/officeart/2008/layout/LinedList"/>
    <dgm:cxn modelId="{79DDE32B-C0E4-4781-AE6E-0A3CAE35CE92}" type="presParOf" srcId="{14109B51-25FC-4DE5-A388-02AA26B7F9A3}" destId="{6112FE97-0B3D-4817-8910-2B0C5B16A1AE}" srcOrd="5" destOrd="0" presId="urn:microsoft.com/office/officeart/2008/layout/LinedList"/>
    <dgm:cxn modelId="{268A0B64-BF6B-4745-8F9B-7E28226979E8}" type="presParOf" srcId="{6112FE97-0B3D-4817-8910-2B0C5B16A1AE}" destId="{93F80FF3-1FE3-4931-A114-CEA80B9A943E}" srcOrd="0" destOrd="0" presId="urn:microsoft.com/office/officeart/2008/layout/LinedList"/>
    <dgm:cxn modelId="{57360AD5-7554-4367-8D50-84A430D40AC1}" type="presParOf" srcId="{6112FE97-0B3D-4817-8910-2B0C5B16A1AE}" destId="{D5019B9A-369F-404E-BB3D-02F8940740F5}"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DFE925-82AF-4475-ACB4-A671200CE193}" type="doc">
      <dgm:prSet loTypeId="urn:microsoft.com/office/officeart/2005/8/layout/list1#2" loCatId="list" qsTypeId="urn:microsoft.com/office/officeart/2005/8/quickstyle/simple1#2" qsCatId="simple" csTypeId="urn:microsoft.com/office/officeart/2005/8/colors/colorful4#2" csCatId="colorful" phldr="1"/>
      <dgm:spPr/>
      <dgm:t>
        <a:bodyPr/>
        <a:lstStyle/>
        <a:p>
          <a:endParaRPr lang="hr-HR"/>
        </a:p>
      </dgm:t>
    </dgm:pt>
    <dgm:pt modelId="{FC010AF8-DE5C-42C8-B8E0-5CFBB22ABD73}">
      <dgm:prSet phldrT="[Text]" custT="1"/>
      <dgm:spPr/>
      <dgm:t>
        <a:bodyPr/>
        <a:lstStyle/>
        <a:p>
          <a:r>
            <a:rPr lang="hr-HR" sz="1200" b="1">
              <a:latin typeface="Times New Roman" panose="02020603050405020304" charset="0"/>
              <a:cs typeface="Times New Roman" panose="02020603050405020304" charset="0"/>
            </a:rPr>
            <a:t>Okolišne</a:t>
          </a:r>
          <a:endParaRPr lang="hr-HR" sz="1200">
            <a:latin typeface="Times New Roman" panose="02020603050405020304" charset="0"/>
            <a:cs typeface="Times New Roman" panose="02020603050405020304" charset="0"/>
          </a:endParaRPr>
        </a:p>
      </dgm:t>
    </dgm:pt>
    <dgm:pt modelId="{6D64079E-FF85-4B41-BFAD-07495F0FF443}" type="parTrans" cxnId="{BF8FDC39-AD86-47B9-937E-614ABAB0D3E5}">
      <dgm:prSet/>
      <dgm:spPr/>
      <dgm:t>
        <a:bodyPr/>
        <a:lstStyle/>
        <a:p>
          <a:endParaRPr lang="hr-HR" sz="1200">
            <a:latin typeface="Times New Roman" panose="02020603050405020304" charset="0"/>
            <a:cs typeface="Times New Roman" panose="02020603050405020304" charset="0"/>
          </a:endParaRPr>
        </a:p>
      </dgm:t>
    </dgm:pt>
    <dgm:pt modelId="{FF16E628-1D55-44E0-A971-243E7505E524}" type="sibTrans" cxnId="{BF8FDC39-AD86-47B9-937E-614ABAB0D3E5}">
      <dgm:prSet/>
      <dgm:spPr/>
      <dgm:t>
        <a:bodyPr/>
        <a:lstStyle/>
        <a:p>
          <a:endParaRPr lang="hr-HR" sz="1200">
            <a:latin typeface="Times New Roman" panose="02020603050405020304" charset="0"/>
            <a:cs typeface="Times New Roman" panose="02020603050405020304" charset="0"/>
          </a:endParaRPr>
        </a:p>
      </dgm:t>
    </dgm:pt>
    <dgm:pt modelId="{DA544F82-69AC-43A3-9F22-BE474F10C3EE}">
      <dgm:prSet phldrT="[Text]" custT="1"/>
      <dgm:spPr/>
      <dgm:t>
        <a:bodyPr/>
        <a:lstStyle/>
        <a:p>
          <a:pPr marL="114300" algn="just"/>
          <a:r>
            <a:rPr lang="hr-HR" sz="1200">
              <a:latin typeface="Times New Roman" panose="02020603050405020304" charset="0"/>
              <a:cs typeface="Times New Roman" panose="02020603050405020304" charset="0"/>
            </a:rPr>
            <a:t>povećanje broja ponovno korištenih prostora i zgrada</a:t>
          </a:r>
        </a:p>
      </dgm:t>
    </dgm:pt>
    <dgm:pt modelId="{13E432F3-9ABC-495C-8C56-7FD00CD3E159}" type="parTrans" cxnId="{A3044033-20B7-4C59-BB90-8832CD959749}">
      <dgm:prSet/>
      <dgm:spPr/>
      <dgm:t>
        <a:bodyPr/>
        <a:lstStyle/>
        <a:p>
          <a:endParaRPr lang="hr-HR" sz="1200">
            <a:latin typeface="Times New Roman" panose="02020603050405020304" charset="0"/>
            <a:cs typeface="Times New Roman" panose="02020603050405020304" charset="0"/>
          </a:endParaRPr>
        </a:p>
      </dgm:t>
    </dgm:pt>
    <dgm:pt modelId="{BD7D34F1-D287-46AB-9156-8BB8CDF7B6CF}" type="sibTrans" cxnId="{A3044033-20B7-4C59-BB90-8832CD959749}">
      <dgm:prSet/>
      <dgm:spPr/>
      <dgm:t>
        <a:bodyPr/>
        <a:lstStyle/>
        <a:p>
          <a:endParaRPr lang="hr-HR" sz="1200">
            <a:latin typeface="Times New Roman" panose="02020603050405020304" charset="0"/>
            <a:cs typeface="Times New Roman" panose="02020603050405020304" charset="0"/>
          </a:endParaRPr>
        </a:p>
      </dgm:t>
    </dgm:pt>
    <dgm:pt modelId="{3CFF1ECB-AD09-4F71-9515-3695A5FDDC79}">
      <dgm:prSet phldrT="[Text]" custT="1"/>
      <dgm:spPr/>
      <dgm:t>
        <a:bodyPr/>
        <a:lstStyle/>
        <a:p>
          <a:r>
            <a:rPr lang="hr-HR" sz="1200" b="1">
              <a:latin typeface="Times New Roman" panose="02020603050405020304" charset="0"/>
              <a:cs typeface="Times New Roman" panose="02020603050405020304" charset="0"/>
            </a:rPr>
            <a:t>Ekonomske</a:t>
          </a:r>
          <a:endParaRPr lang="hr-HR" sz="1200">
            <a:latin typeface="Times New Roman" panose="02020603050405020304" charset="0"/>
            <a:cs typeface="Times New Roman" panose="02020603050405020304" charset="0"/>
          </a:endParaRPr>
        </a:p>
      </dgm:t>
    </dgm:pt>
    <dgm:pt modelId="{A721F087-2EDB-4EB9-889A-6B15CCEC2E54}" type="parTrans" cxnId="{8B7E88B1-962F-4E7A-A883-790E083FBAD6}">
      <dgm:prSet/>
      <dgm:spPr/>
      <dgm:t>
        <a:bodyPr/>
        <a:lstStyle/>
        <a:p>
          <a:endParaRPr lang="hr-HR" sz="1200">
            <a:latin typeface="Times New Roman" panose="02020603050405020304" charset="0"/>
            <a:cs typeface="Times New Roman" panose="02020603050405020304" charset="0"/>
          </a:endParaRPr>
        </a:p>
      </dgm:t>
    </dgm:pt>
    <dgm:pt modelId="{9A7D6B9C-76B1-4955-8CE6-2530CCF932B4}" type="sibTrans" cxnId="{8B7E88B1-962F-4E7A-A883-790E083FBAD6}">
      <dgm:prSet/>
      <dgm:spPr/>
      <dgm:t>
        <a:bodyPr/>
        <a:lstStyle/>
        <a:p>
          <a:endParaRPr lang="hr-HR" sz="1200">
            <a:latin typeface="Times New Roman" panose="02020603050405020304" charset="0"/>
            <a:cs typeface="Times New Roman" panose="02020603050405020304" charset="0"/>
          </a:endParaRPr>
        </a:p>
      </dgm:t>
    </dgm:pt>
    <dgm:pt modelId="{2ED3E739-A565-4502-871B-3782F1F3D092}">
      <dgm:prSet phldrT="[Text]" custT="1"/>
      <dgm:spPr/>
      <dgm:t>
        <a:bodyPr/>
        <a:lstStyle/>
        <a:p>
          <a:r>
            <a:rPr lang="hr-HR" sz="1200">
              <a:latin typeface="Times New Roman" panose="02020603050405020304" charset="0"/>
              <a:cs typeface="Times New Roman" panose="02020603050405020304" charset="0"/>
            </a:rPr>
            <a:t>podizanje društvene svijesti o održivom okolišu</a:t>
          </a:r>
        </a:p>
      </dgm:t>
    </dgm:pt>
    <dgm:pt modelId="{977E6C78-713D-46DA-8A44-84B1EA1CD1A5}" type="parTrans" cxnId="{03F42E18-D773-4912-BB36-6FCC2173692D}">
      <dgm:prSet/>
      <dgm:spPr/>
      <dgm:t>
        <a:bodyPr/>
        <a:lstStyle/>
        <a:p>
          <a:endParaRPr lang="hr-HR" sz="1200">
            <a:latin typeface="Times New Roman" panose="02020603050405020304" charset="0"/>
            <a:cs typeface="Times New Roman" panose="02020603050405020304" charset="0"/>
          </a:endParaRPr>
        </a:p>
      </dgm:t>
    </dgm:pt>
    <dgm:pt modelId="{037C4E65-E8BA-46CC-971C-5D05F91455E1}" type="sibTrans" cxnId="{03F42E18-D773-4912-BB36-6FCC2173692D}">
      <dgm:prSet/>
      <dgm:spPr/>
      <dgm:t>
        <a:bodyPr/>
        <a:lstStyle/>
        <a:p>
          <a:endParaRPr lang="hr-HR" sz="1200">
            <a:latin typeface="Times New Roman" panose="02020603050405020304" charset="0"/>
            <a:cs typeface="Times New Roman" panose="02020603050405020304" charset="0"/>
          </a:endParaRPr>
        </a:p>
      </dgm:t>
    </dgm:pt>
    <dgm:pt modelId="{C8E47129-97F5-43A3-907D-759E2D50539E}">
      <dgm:prSet phldrT="[Text]" custT="1"/>
      <dgm:spPr/>
      <dgm:t>
        <a:bodyPr/>
        <a:lstStyle/>
        <a:p>
          <a:r>
            <a:rPr lang="hr-HR" sz="1200" b="1">
              <a:latin typeface="Times New Roman" panose="02020603050405020304" charset="0"/>
              <a:cs typeface="Times New Roman" panose="02020603050405020304" charset="0"/>
            </a:rPr>
            <a:t>Društvene</a:t>
          </a:r>
          <a:endParaRPr lang="hr-HR" sz="1200">
            <a:latin typeface="Times New Roman" panose="02020603050405020304" charset="0"/>
            <a:cs typeface="Times New Roman" panose="02020603050405020304" charset="0"/>
          </a:endParaRPr>
        </a:p>
      </dgm:t>
    </dgm:pt>
    <dgm:pt modelId="{598801A2-2CDF-46E2-B99F-2C6DE4CD42A6}" type="parTrans" cxnId="{C81A83B7-32CD-4844-A27D-18853EB2245F}">
      <dgm:prSet/>
      <dgm:spPr/>
      <dgm:t>
        <a:bodyPr/>
        <a:lstStyle/>
        <a:p>
          <a:endParaRPr lang="hr-HR" sz="1200">
            <a:latin typeface="Times New Roman" panose="02020603050405020304" charset="0"/>
            <a:cs typeface="Times New Roman" panose="02020603050405020304" charset="0"/>
          </a:endParaRPr>
        </a:p>
      </dgm:t>
    </dgm:pt>
    <dgm:pt modelId="{0E242370-FFEF-409A-91D0-EF80C26E9F89}" type="sibTrans" cxnId="{C81A83B7-32CD-4844-A27D-18853EB2245F}">
      <dgm:prSet/>
      <dgm:spPr/>
      <dgm:t>
        <a:bodyPr/>
        <a:lstStyle/>
        <a:p>
          <a:endParaRPr lang="hr-HR" sz="1200">
            <a:latin typeface="Times New Roman" panose="02020603050405020304" charset="0"/>
            <a:cs typeface="Times New Roman" panose="02020603050405020304" charset="0"/>
          </a:endParaRPr>
        </a:p>
      </dgm:t>
    </dgm:pt>
    <dgm:pt modelId="{C1E80080-160D-413B-BCBD-997EF92799D8}">
      <dgm:prSet phldrT="[Text]" custT="1"/>
      <dgm:spPr/>
      <dgm:t>
        <a:bodyPr/>
        <a:lstStyle/>
        <a:p>
          <a:pPr algn="just"/>
          <a:r>
            <a:rPr lang="hr-HR" sz="1200">
              <a:latin typeface="Times New Roman" panose="02020603050405020304" charset="0"/>
              <a:cs typeface="Times New Roman" panose="02020603050405020304" charset="0"/>
            </a:rPr>
            <a:t>gospodarska stabilnost temeljem neovisnosti o primarnim sirovinama </a:t>
          </a:r>
        </a:p>
      </dgm:t>
    </dgm:pt>
    <dgm:pt modelId="{31EFBDF5-ADA7-4D5C-B6D8-5FC51DD6DB30}" type="parTrans" cxnId="{31C593E5-0D3E-4420-9483-129BD272F5F8}">
      <dgm:prSet/>
      <dgm:spPr/>
      <dgm:t>
        <a:bodyPr/>
        <a:lstStyle/>
        <a:p>
          <a:endParaRPr lang="hr-HR" sz="1200">
            <a:latin typeface="Times New Roman" panose="02020603050405020304" charset="0"/>
            <a:cs typeface="Times New Roman" panose="02020603050405020304" charset="0"/>
          </a:endParaRPr>
        </a:p>
      </dgm:t>
    </dgm:pt>
    <dgm:pt modelId="{12351196-D930-43D5-8233-F2267C9BFE33}" type="sibTrans" cxnId="{31C593E5-0D3E-4420-9483-129BD272F5F8}">
      <dgm:prSet/>
      <dgm:spPr/>
      <dgm:t>
        <a:bodyPr/>
        <a:lstStyle/>
        <a:p>
          <a:endParaRPr lang="hr-HR" sz="1200">
            <a:latin typeface="Times New Roman" panose="02020603050405020304" charset="0"/>
            <a:cs typeface="Times New Roman" panose="02020603050405020304" charset="0"/>
          </a:endParaRPr>
        </a:p>
      </dgm:t>
    </dgm:pt>
    <dgm:pt modelId="{60F5A411-26F5-4EF0-9040-1D6D4053F605}">
      <dgm:prSet custT="1"/>
      <dgm:spPr/>
      <dgm:t>
        <a:bodyPr/>
        <a:lstStyle/>
        <a:p>
          <a:pPr marL="114300" algn="just"/>
          <a:r>
            <a:rPr lang="hr-HR" sz="1200">
              <a:latin typeface="Times New Roman" panose="02020603050405020304" charset="0"/>
              <a:cs typeface="Times New Roman" panose="02020603050405020304" charset="0"/>
            </a:rPr>
            <a:t>povećanje trajnosti, stabilnosti i sigurnosti zgrada i bolja energetska učinkovitosti istih</a:t>
          </a:r>
        </a:p>
      </dgm:t>
    </dgm:pt>
    <dgm:pt modelId="{8F5F5ED0-D2C5-4671-84CC-3D852B2EAACA}" type="parTrans" cxnId="{A0A1B675-8875-4B89-A6DB-B92FDFFA25AE}">
      <dgm:prSet/>
      <dgm:spPr/>
      <dgm:t>
        <a:bodyPr/>
        <a:lstStyle/>
        <a:p>
          <a:endParaRPr lang="hr-HR" sz="1200">
            <a:latin typeface="Times New Roman" panose="02020603050405020304" charset="0"/>
            <a:cs typeface="Times New Roman" panose="02020603050405020304" charset="0"/>
          </a:endParaRPr>
        </a:p>
      </dgm:t>
    </dgm:pt>
    <dgm:pt modelId="{565768FF-340A-4258-8C74-A15B5E465082}" type="sibTrans" cxnId="{A0A1B675-8875-4B89-A6DB-B92FDFFA25AE}">
      <dgm:prSet/>
      <dgm:spPr/>
      <dgm:t>
        <a:bodyPr/>
        <a:lstStyle/>
        <a:p>
          <a:endParaRPr lang="hr-HR" sz="1200">
            <a:latin typeface="Times New Roman" panose="02020603050405020304" charset="0"/>
            <a:cs typeface="Times New Roman" panose="02020603050405020304" charset="0"/>
          </a:endParaRPr>
        </a:p>
      </dgm:t>
    </dgm:pt>
    <dgm:pt modelId="{9BA210DB-17C3-4FFC-900A-6B735F3A9DFE}">
      <dgm:prSet custT="1"/>
      <dgm:spPr/>
      <dgm:t>
        <a:bodyPr/>
        <a:lstStyle/>
        <a:p>
          <a:pPr marL="114300" algn="just"/>
          <a:r>
            <a:rPr lang="hr-HR" sz="1200">
              <a:latin typeface="Times New Roman" panose="02020603050405020304" charset="0"/>
              <a:cs typeface="Times New Roman" panose="02020603050405020304" charset="0"/>
            </a:rPr>
            <a:t>povećanje broja multifunkcionalno korištenih prostora i zgrada</a:t>
          </a:r>
        </a:p>
      </dgm:t>
    </dgm:pt>
    <dgm:pt modelId="{042A6B05-CE29-424C-AE48-272B908AFD54}" type="parTrans" cxnId="{D4D7A2BA-53AF-4E76-A108-02430829CF16}">
      <dgm:prSet/>
      <dgm:spPr/>
      <dgm:t>
        <a:bodyPr/>
        <a:lstStyle/>
        <a:p>
          <a:endParaRPr lang="hr-HR" sz="1200">
            <a:latin typeface="Times New Roman" panose="02020603050405020304" charset="0"/>
            <a:cs typeface="Times New Roman" panose="02020603050405020304" charset="0"/>
          </a:endParaRPr>
        </a:p>
      </dgm:t>
    </dgm:pt>
    <dgm:pt modelId="{07A04370-D65B-4BDA-9756-DCEA00945DC0}" type="sibTrans" cxnId="{D4D7A2BA-53AF-4E76-A108-02430829CF16}">
      <dgm:prSet/>
      <dgm:spPr/>
      <dgm:t>
        <a:bodyPr/>
        <a:lstStyle/>
        <a:p>
          <a:endParaRPr lang="hr-HR" sz="1200">
            <a:latin typeface="Times New Roman" panose="02020603050405020304" charset="0"/>
            <a:cs typeface="Times New Roman" panose="02020603050405020304" charset="0"/>
          </a:endParaRPr>
        </a:p>
      </dgm:t>
    </dgm:pt>
    <dgm:pt modelId="{65007593-9887-4BAB-9694-C0B7A42B7B94}">
      <dgm:prSet custT="1"/>
      <dgm:spPr/>
      <dgm:t>
        <a:bodyPr/>
        <a:lstStyle/>
        <a:p>
          <a:pPr marL="114300" algn="just"/>
          <a:r>
            <a:rPr lang="hr-HR" sz="1200">
              <a:latin typeface="Times New Roman" panose="02020603050405020304" charset="0"/>
              <a:cs typeface="Times New Roman" panose="02020603050405020304" charset="0"/>
            </a:rPr>
            <a:t>povećanje inovativnosti u razvoju novih materijala iz sekundarnih i recikliranih sirovina (kružnost materijala)</a:t>
          </a:r>
        </a:p>
      </dgm:t>
    </dgm:pt>
    <dgm:pt modelId="{4D3B25B7-14B8-4C90-B48D-498B7F6C7D75}" type="parTrans" cxnId="{A17981F2-886B-4E52-9A39-634D0E4E66FE}">
      <dgm:prSet/>
      <dgm:spPr/>
      <dgm:t>
        <a:bodyPr/>
        <a:lstStyle/>
        <a:p>
          <a:endParaRPr lang="hr-HR" sz="1200">
            <a:latin typeface="Times New Roman" panose="02020603050405020304" charset="0"/>
            <a:cs typeface="Times New Roman" panose="02020603050405020304" charset="0"/>
          </a:endParaRPr>
        </a:p>
      </dgm:t>
    </dgm:pt>
    <dgm:pt modelId="{C5A38B10-6BA9-46FF-90DE-F2C9352854C4}" type="sibTrans" cxnId="{A17981F2-886B-4E52-9A39-634D0E4E66FE}">
      <dgm:prSet/>
      <dgm:spPr/>
      <dgm:t>
        <a:bodyPr/>
        <a:lstStyle/>
        <a:p>
          <a:endParaRPr lang="hr-HR" sz="1200">
            <a:latin typeface="Times New Roman" panose="02020603050405020304" charset="0"/>
            <a:cs typeface="Times New Roman" panose="02020603050405020304" charset="0"/>
          </a:endParaRPr>
        </a:p>
      </dgm:t>
    </dgm:pt>
    <dgm:pt modelId="{96C0E11C-FCC2-4E50-AFE2-66F95B788F03}">
      <dgm:prSet custT="1"/>
      <dgm:spPr/>
      <dgm:t>
        <a:bodyPr/>
        <a:lstStyle/>
        <a:p>
          <a:pPr marL="114300" algn="just"/>
          <a:r>
            <a:rPr lang="hr-HR" sz="1200">
              <a:latin typeface="Times New Roman" panose="02020603050405020304" charset="0"/>
              <a:cs typeface="Times New Roman" panose="02020603050405020304" charset="0"/>
            </a:rPr>
            <a:t>otpornost zgrada na očekivane klimatske promjene i katastrofalne događaje</a:t>
          </a:r>
        </a:p>
      </dgm:t>
    </dgm:pt>
    <dgm:pt modelId="{32347BDD-5471-45A6-B956-518E75D5ACFA}" type="parTrans" cxnId="{2FE9A72B-FA85-4145-8A46-4FC9A1EC5487}">
      <dgm:prSet/>
      <dgm:spPr/>
      <dgm:t>
        <a:bodyPr/>
        <a:lstStyle/>
        <a:p>
          <a:endParaRPr lang="hr-HR" sz="1200">
            <a:latin typeface="Times New Roman" panose="02020603050405020304" charset="0"/>
            <a:cs typeface="Times New Roman" panose="02020603050405020304" charset="0"/>
          </a:endParaRPr>
        </a:p>
      </dgm:t>
    </dgm:pt>
    <dgm:pt modelId="{3B32BCB9-FFDE-4EE7-B682-E3633A3B1799}" type="sibTrans" cxnId="{2FE9A72B-FA85-4145-8A46-4FC9A1EC5487}">
      <dgm:prSet/>
      <dgm:spPr/>
      <dgm:t>
        <a:bodyPr/>
        <a:lstStyle/>
        <a:p>
          <a:endParaRPr lang="hr-HR" sz="1200">
            <a:latin typeface="Times New Roman" panose="02020603050405020304" charset="0"/>
            <a:cs typeface="Times New Roman" panose="02020603050405020304" charset="0"/>
          </a:endParaRPr>
        </a:p>
      </dgm:t>
    </dgm:pt>
    <dgm:pt modelId="{B7BF3413-1B8F-4E19-8B6F-4B86D8C20F49}">
      <dgm:prSet custT="1"/>
      <dgm:spPr/>
      <dgm:t>
        <a:bodyPr/>
        <a:lstStyle/>
        <a:p>
          <a:pPr marL="36195" algn="just"/>
          <a:r>
            <a:rPr lang="hr-HR" sz="1200">
              <a:latin typeface="Times New Roman" panose="02020603050405020304" charset="0"/>
              <a:cs typeface="Times New Roman" panose="02020603050405020304" charset="0"/>
            </a:rPr>
            <a:t>smanjenje potrošnje energije </a:t>
          </a:r>
        </a:p>
      </dgm:t>
    </dgm:pt>
    <dgm:pt modelId="{A171602B-A24E-4E93-8B28-41E3E63F378D}" type="parTrans" cxnId="{E4B003F9-99E1-4E8C-BD81-D9A8EBA1E56D}">
      <dgm:prSet/>
      <dgm:spPr/>
      <dgm:t>
        <a:bodyPr/>
        <a:lstStyle/>
        <a:p>
          <a:endParaRPr lang="hr-HR" sz="1200">
            <a:latin typeface="Times New Roman" panose="02020603050405020304" charset="0"/>
            <a:cs typeface="Times New Roman" panose="02020603050405020304" charset="0"/>
          </a:endParaRPr>
        </a:p>
      </dgm:t>
    </dgm:pt>
    <dgm:pt modelId="{34C95F34-5B02-47C1-9952-DEFADC137EE2}" type="sibTrans" cxnId="{E4B003F9-99E1-4E8C-BD81-D9A8EBA1E56D}">
      <dgm:prSet/>
      <dgm:spPr/>
      <dgm:t>
        <a:bodyPr/>
        <a:lstStyle/>
        <a:p>
          <a:endParaRPr lang="hr-HR" sz="1200">
            <a:latin typeface="Times New Roman" panose="02020603050405020304" charset="0"/>
            <a:cs typeface="Times New Roman" panose="02020603050405020304" charset="0"/>
          </a:endParaRPr>
        </a:p>
      </dgm:t>
    </dgm:pt>
    <dgm:pt modelId="{8A6BEAF4-428C-4526-A9FE-B8091945B926}">
      <dgm:prSet custT="1"/>
      <dgm:spPr/>
      <dgm:t>
        <a:bodyPr/>
        <a:lstStyle/>
        <a:p>
          <a:pPr marL="114300" algn="just"/>
          <a:r>
            <a:rPr lang="hr-HR" sz="1200">
              <a:latin typeface="Times New Roman" panose="02020603050405020304" charset="0"/>
              <a:cs typeface="Times New Roman" panose="02020603050405020304" charset="0"/>
            </a:rPr>
            <a:t>razvoj lokalnih energetskih mreža</a:t>
          </a:r>
        </a:p>
      </dgm:t>
    </dgm:pt>
    <dgm:pt modelId="{88A4F319-73AD-4EE2-9352-39923A1EEBE5}" type="parTrans" cxnId="{A3CFF5F5-98F9-45CC-8EB4-A91DFD37B6A4}">
      <dgm:prSet/>
      <dgm:spPr/>
      <dgm:t>
        <a:bodyPr/>
        <a:lstStyle/>
        <a:p>
          <a:endParaRPr lang="hr-HR" sz="1200">
            <a:latin typeface="Times New Roman" panose="02020603050405020304" charset="0"/>
            <a:cs typeface="Times New Roman" panose="02020603050405020304" charset="0"/>
          </a:endParaRPr>
        </a:p>
      </dgm:t>
    </dgm:pt>
    <dgm:pt modelId="{3AF4D397-DBB2-4C02-B16C-3793AFDE20FC}" type="sibTrans" cxnId="{A3CFF5F5-98F9-45CC-8EB4-A91DFD37B6A4}">
      <dgm:prSet/>
      <dgm:spPr/>
      <dgm:t>
        <a:bodyPr/>
        <a:lstStyle/>
        <a:p>
          <a:endParaRPr lang="hr-HR" sz="1200">
            <a:latin typeface="Times New Roman" panose="02020603050405020304" charset="0"/>
            <a:cs typeface="Times New Roman" panose="02020603050405020304" charset="0"/>
          </a:endParaRPr>
        </a:p>
      </dgm:t>
    </dgm:pt>
    <dgm:pt modelId="{3C22F16D-9705-47F7-A125-5108C7BEB4D8}">
      <dgm:prSet custT="1"/>
      <dgm:spPr/>
      <dgm:t>
        <a:bodyPr/>
        <a:lstStyle/>
        <a:p>
          <a:pPr marL="114300" algn="just"/>
          <a:r>
            <a:rPr lang="hr-HR" sz="1200">
              <a:latin typeface="Times New Roman" panose="02020603050405020304" charset="0"/>
              <a:cs typeface="Times New Roman" panose="02020603050405020304" charset="0"/>
            </a:rPr>
            <a:t>smanjenje zagađenja zemlje, vode i zraka </a:t>
          </a:r>
        </a:p>
      </dgm:t>
    </dgm:pt>
    <dgm:pt modelId="{D16D7D88-4C6C-4678-8015-D6AF1B7D140A}" type="parTrans" cxnId="{F3389839-D2AF-407A-9240-8F4B93790C63}">
      <dgm:prSet/>
      <dgm:spPr/>
      <dgm:t>
        <a:bodyPr/>
        <a:lstStyle/>
        <a:p>
          <a:endParaRPr lang="hr-HR" sz="1200">
            <a:latin typeface="Times New Roman" panose="02020603050405020304" charset="0"/>
            <a:cs typeface="Times New Roman" panose="02020603050405020304" charset="0"/>
          </a:endParaRPr>
        </a:p>
      </dgm:t>
    </dgm:pt>
    <dgm:pt modelId="{B373DBA3-4D0B-4677-83A3-E7A70D6B62D9}" type="sibTrans" cxnId="{F3389839-D2AF-407A-9240-8F4B93790C63}">
      <dgm:prSet/>
      <dgm:spPr/>
      <dgm:t>
        <a:bodyPr/>
        <a:lstStyle/>
        <a:p>
          <a:endParaRPr lang="hr-HR" sz="1200">
            <a:latin typeface="Times New Roman" panose="02020603050405020304" charset="0"/>
            <a:cs typeface="Times New Roman" panose="02020603050405020304" charset="0"/>
          </a:endParaRPr>
        </a:p>
      </dgm:t>
    </dgm:pt>
    <dgm:pt modelId="{CAEC597B-E5D2-4C27-81FD-0CD2A4811B95}">
      <dgm:prSet custT="1"/>
      <dgm:spPr/>
      <dgm:t>
        <a:bodyPr/>
        <a:lstStyle/>
        <a:p>
          <a:pPr marL="114300" algn="just"/>
          <a:r>
            <a:rPr lang="hr-HR" sz="1200">
              <a:latin typeface="Times New Roman" panose="02020603050405020304" charset="0"/>
              <a:cs typeface="Times New Roman" panose="02020603050405020304" charset="0"/>
            </a:rPr>
            <a:t>usporavanje širenja / kontrolirano širenje građevinskih područja </a:t>
          </a:r>
        </a:p>
      </dgm:t>
    </dgm:pt>
    <dgm:pt modelId="{49F0E357-AD0D-45D1-B8B7-E82889F1B984}" type="parTrans" cxnId="{8C655D76-0876-46D8-ADEF-C707341EC67D}">
      <dgm:prSet/>
      <dgm:spPr/>
      <dgm:t>
        <a:bodyPr/>
        <a:lstStyle/>
        <a:p>
          <a:endParaRPr lang="hr-HR" sz="1200">
            <a:latin typeface="Times New Roman" panose="02020603050405020304" charset="0"/>
            <a:cs typeface="Times New Roman" panose="02020603050405020304" charset="0"/>
          </a:endParaRPr>
        </a:p>
      </dgm:t>
    </dgm:pt>
    <dgm:pt modelId="{98A0012B-8E55-485F-9CA4-2545CB618E20}" type="sibTrans" cxnId="{8C655D76-0876-46D8-ADEF-C707341EC67D}">
      <dgm:prSet/>
      <dgm:spPr/>
      <dgm:t>
        <a:bodyPr/>
        <a:lstStyle/>
        <a:p>
          <a:endParaRPr lang="hr-HR" sz="1200">
            <a:latin typeface="Times New Roman" panose="02020603050405020304" charset="0"/>
            <a:cs typeface="Times New Roman" panose="02020603050405020304" charset="0"/>
          </a:endParaRPr>
        </a:p>
      </dgm:t>
    </dgm:pt>
    <dgm:pt modelId="{63E1A4A2-0380-4E91-96E5-CBDB44BACE3B}">
      <dgm:prSet custT="1"/>
      <dgm:spPr/>
      <dgm:t>
        <a:bodyPr/>
        <a:lstStyle/>
        <a:p>
          <a:pPr marL="114300" algn="just"/>
          <a:r>
            <a:rPr lang="hr-HR" sz="1200">
              <a:latin typeface="Times New Roman" panose="02020603050405020304" charset="0"/>
              <a:cs typeface="Times New Roman" panose="02020603050405020304" charset="0"/>
            </a:rPr>
            <a:t>očuvanje okoliša </a:t>
          </a:r>
        </a:p>
      </dgm:t>
    </dgm:pt>
    <dgm:pt modelId="{46051991-6568-44BC-B85D-238365DDB69E}" type="parTrans" cxnId="{1702AAAF-8DDE-4C0D-9838-F934C377527B}">
      <dgm:prSet/>
      <dgm:spPr/>
      <dgm:t>
        <a:bodyPr/>
        <a:lstStyle/>
        <a:p>
          <a:endParaRPr lang="hr-HR" sz="1200">
            <a:latin typeface="Times New Roman" panose="02020603050405020304" charset="0"/>
            <a:cs typeface="Times New Roman" panose="02020603050405020304" charset="0"/>
          </a:endParaRPr>
        </a:p>
      </dgm:t>
    </dgm:pt>
    <dgm:pt modelId="{80555732-4A1F-4BED-893D-D3B22202A6B6}" type="sibTrans" cxnId="{1702AAAF-8DDE-4C0D-9838-F934C377527B}">
      <dgm:prSet/>
      <dgm:spPr/>
      <dgm:t>
        <a:bodyPr/>
        <a:lstStyle/>
        <a:p>
          <a:endParaRPr lang="hr-HR" sz="1200">
            <a:latin typeface="Times New Roman" panose="02020603050405020304" charset="0"/>
            <a:cs typeface="Times New Roman" panose="02020603050405020304" charset="0"/>
          </a:endParaRPr>
        </a:p>
      </dgm:t>
    </dgm:pt>
    <dgm:pt modelId="{51E9C99E-3E12-4F0C-98FE-9F7E96D935A2}">
      <dgm:prSet custT="1"/>
      <dgm:spPr/>
      <dgm:t>
        <a:bodyPr/>
        <a:lstStyle/>
        <a:p>
          <a:pPr algn="just"/>
          <a:r>
            <a:rPr lang="hr-HR" sz="1200">
              <a:latin typeface="Times New Roman" panose="02020603050405020304" charset="0"/>
              <a:cs typeface="Times New Roman" panose="02020603050405020304" charset="0"/>
            </a:rPr>
            <a:t>ekonomski rast temeljem veće vrijednosti i dostupnosti materijala</a:t>
          </a:r>
        </a:p>
      </dgm:t>
    </dgm:pt>
    <dgm:pt modelId="{940BB5F7-8104-45A5-AADF-5BD21FC838C8}" type="parTrans" cxnId="{374C4C88-BDB1-45F1-BC52-7C5F0E6BC0AE}">
      <dgm:prSet/>
      <dgm:spPr/>
      <dgm:t>
        <a:bodyPr/>
        <a:lstStyle/>
        <a:p>
          <a:endParaRPr lang="hr-HR" sz="1200">
            <a:latin typeface="Times New Roman" panose="02020603050405020304" charset="0"/>
            <a:cs typeface="Times New Roman" panose="02020603050405020304" charset="0"/>
          </a:endParaRPr>
        </a:p>
      </dgm:t>
    </dgm:pt>
    <dgm:pt modelId="{40AF19F1-D513-4DD1-9E43-FD6BAEE7A2BF}" type="sibTrans" cxnId="{374C4C88-BDB1-45F1-BC52-7C5F0E6BC0AE}">
      <dgm:prSet/>
      <dgm:spPr/>
      <dgm:t>
        <a:bodyPr/>
        <a:lstStyle/>
        <a:p>
          <a:endParaRPr lang="hr-HR" sz="1200">
            <a:latin typeface="Times New Roman" panose="02020603050405020304" charset="0"/>
            <a:cs typeface="Times New Roman" panose="02020603050405020304" charset="0"/>
          </a:endParaRPr>
        </a:p>
      </dgm:t>
    </dgm:pt>
    <dgm:pt modelId="{BEA438FD-1390-47DA-835C-58EDD61671D5}">
      <dgm:prSet custT="1"/>
      <dgm:spPr/>
      <dgm:t>
        <a:bodyPr/>
        <a:lstStyle/>
        <a:p>
          <a:r>
            <a:rPr lang="hr-HR" sz="1200">
              <a:latin typeface="Times New Roman" panose="02020603050405020304" charset="0"/>
              <a:cs typeface="Times New Roman" panose="02020603050405020304" charset="0"/>
            </a:rPr>
            <a:t>povećanje socijalne interakcije ljudi </a:t>
          </a:r>
        </a:p>
      </dgm:t>
    </dgm:pt>
    <dgm:pt modelId="{45BFB907-970D-4877-A853-C4221A604BA2}" type="parTrans" cxnId="{E50FB94B-EF7E-4CEC-A55D-0C9F85928999}">
      <dgm:prSet/>
      <dgm:spPr/>
      <dgm:t>
        <a:bodyPr/>
        <a:lstStyle/>
        <a:p>
          <a:endParaRPr lang="hr-HR" sz="1200">
            <a:latin typeface="Times New Roman" panose="02020603050405020304" charset="0"/>
            <a:cs typeface="Times New Roman" panose="02020603050405020304" charset="0"/>
          </a:endParaRPr>
        </a:p>
      </dgm:t>
    </dgm:pt>
    <dgm:pt modelId="{6979C8FF-E6BF-42BC-BE58-FCA8B5D9ABC4}" type="sibTrans" cxnId="{E50FB94B-EF7E-4CEC-A55D-0C9F85928999}">
      <dgm:prSet/>
      <dgm:spPr/>
      <dgm:t>
        <a:bodyPr/>
        <a:lstStyle/>
        <a:p>
          <a:endParaRPr lang="hr-HR" sz="1200">
            <a:latin typeface="Times New Roman" panose="02020603050405020304" charset="0"/>
            <a:cs typeface="Times New Roman" panose="02020603050405020304" charset="0"/>
          </a:endParaRPr>
        </a:p>
      </dgm:t>
    </dgm:pt>
    <dgm:pt modelId="{ECF4B394-25CE-440A-A721-AD6981407A0A}">
      <dgm:prSet custT="1"/>
      <dgm:spPr/>
      <dgm:t>
        <a:bodyPr/>
        <a:lstStyle/>
        <a:p>
          <a:r>
            <a:rPr lang="hr-HR" sz="1200">
              <a:latin typeface="Times New Roman" panose="02020603050405020304" charset="0"/>
              <a:cs typeface="Times New Roman" panose="02020603050405020304" charset="0"/>
            </a:rPr>
            <a:t>poboljšanje zdravlja i dobrobiti ljudi</a:t>
          </a:r>
        </a:p>
      </dgm:t>
    </dgm:pt>
    <dgm:pt modelId="{AF9186FB-0BF0-4042-80FA-F82B6F0B34A7}" type="parTrans" cxnId="{A87DB7F7-9F81-4A72-BA22-CF05E1CF9974}">
      <dgm:prSet/>
      <dgm:spPr/>
      <dgm:t>
        <a:bodyPr/>
        <a:lstStyle/>
        <a:p>
          <a:endParaRPr lang="hr-HR" sz="1200">
            <a:latin typeface="Times New Roman" panose="02020603050405020304" charset="0"/>
            <a:cs typeface="Times New Roman" panose="02020603050405020304" charset="0"/>
          </a:endParaRPr>
        </a:p>
      </dgm:t>
    </dgm:pt>
    <dgm:pt modelId="{2DF3C38B-81A4-4F3E-9993-81BDFA5855AF}" type="sibTrans" cxnId="{A87DB7F7-9F81-4A72-BA22-CF05E1CF9974}">
      <dgm:prSet/>
      <dgm:spPr/>
      <dgm:t>
        <a:bodyPr/>
        <a:lstStyle/>
        <a:p>
          <a:endParaRPr lang="hr-HR" sz="1200">
            <a:latin typeface="Times New Roman" panose="02020603050405020304" charset="0"/>
            <a:cs typeface="Times New Roman" panose="02020603050405020304" charset="0"/>
          </a:endParaRPr>
        </a:p>
      </dgm:t>
    </dgm:pt>
    <dgm:pt modelId="{7BC8A23F-9C31-493D-A089-55B988A37097}">
      <dgm:prSet custT="1"/>
      <dgm:spPr/>
      <dgm:t>
        <a:bodyPr/>
        <a:lstStyle/>
        <a:p>
          <a:r>
            <a:rPr lang="hr-HR" sz="1200">
              <a:latin typeface="Times New Roman" panose="02020603050405020304" charset="0"/>
              <a:cs typeface="Times New Roman" panose="02020603050405020304" charset="0"/>
            </a:rPr>
            <a:t>povećanje pristupačnosti</a:t>
          </a:r>
        </a:p>
      </dgm:t>
    </dgm:pt>
    <dgm:pt modelId="{CE5AECBB-97F7-49C2-89DB-241DBB33A305}" type="parTrans" cxnId="{D2E17E29-FDAE-4080-9F14-22F759C71E55}">
      <dgm:prSet/>
      <dgm:spPr/>
      <dgm:t>
        <a:bodyPr/>
        <a:lstStyle/>
        <a:p>
          <a:endParaRPr lang="hr-HR" sz="1200">
            <a:latin typeface="Times New Roman" panose="02020603050405020304" charset="0"/>
            <a:cs typeface="Times New Roman" panose="02020603050405020304" charset="0"/>
          </a:endParaRPr>
        </a:p>
      </dgm:t>
    </dgm:pt>
    <dgm:pt modelId="{E44F42C0-41FE-4EDD-A46C-8915CC6C9DD5}" type="sibTrans" cxnId="{D2E17E29-FDAE-4080-9F14-22F759C71E55}">
      <dgm:prSet/>
      <dgm:spPr/>
      <dgm:t>
        <a:bodyPr/>
        <a:lstStyle/>
        <a:p>
          <a:endParaRPr lang="hr-HR" sz="1200">
            <a:latin typeface="Times New Roman" panose="02020603050405020304" charset="0"/>
            <a:cs typeface="Times New Roman" panose="02020603050405020304" charset="0"/>
          </a:endParaRPr>
        </a:p>
      </dgm:t>
    </dgm:pt>
    <dgm:pt modelId="{BF8946E3-0687-4764-A846-A9F0383DEF76}">
      <dgm:prSet custT="1"/>
      <dgm:spPr/>
      <dgm:t>
        <a:bodyPr/>
        <a:lstStyle/>
        <a:p>
          <a:r>
            <a:rPr lang="hr-HR" sz="1200">
              <a:latin typeface="Times New Roman" panose="02020603050405020304" charset="0"/>
              <a:cs typeface="Times New Roman" panose="02020603050405020304" charset="0"/>
            </a:rPr>
            <a:t>povećanje sigurnosti </a:t>
          </a:r>
        </a:p>
      </dgm:t>
    </dgm:pt>
    <dgm:pt modelId="{4D46EE42-BF00-4472-B641-67648E4052E7}" type="parTrans" cxnId="{3B64E0C0-E5F1-4EDB-A63E-F3F61A9EDD02}">
      <dgm:prSet/>
      <dgm:spPr/>
      <dgm:t>
        <a:bodyPr/>
        <a:lstStyle/>
        <a:p>
          <a:endParaRPr lang="hr-HR" sz="1200">
            <a:latin typeface="Times New Roman" panose="02020603050405020304" charset="0"/>
            <a:cs typeface="Times New Roman" panose="02020603050405020304" charset="0"/>
          </a:endParaRPr>
        </a:p>
      </dgm:t>
    </dgm:pt>
    <dgm:pt modelId="{4AF374A4-84AE-41E7-9615-3861419BEF69}" type="sibTrans" cxnId="{3B64E0C0-E5F1-4EDB-A63E-F3F61A9EDD02}">
      <dgm:prSet/>
      <dgm:spPr/>
      <dgm:t>
        <a:bodyPr/>
        <a:lstStyle/>
        <a:p>
          <a:endParaRPr lang="hr-HR" sz="1200">
            <a:latin typeface="Times New Roman" panose="02020603050405020304" charset="0"/>
            <a:cs typeface="Times New Roman" panose="02020603050405020304" charset="0"/>
          </a:endParaRPr>
        </a:p>
      </dgm:t>
    </dgm:pt>
    <dgm:pt modelId="{FAE84206-36AD-490C-9572-B901C82E3358}">
      <dgm:prSet custT="1"/>
      <dgm:spPr/>
      <dgm:t>
        <a:bodyPr/>
        <a:lstStyle/>
        <a:p>
          <a:r>
            <a:rPr lang="hr-HR" sz="1200">
              <a:latin typeface="Times New Roman" panose="02020603050405020304" charset="0"/>
              <a:cs typeface="Times New Roman" panose="02020603050405020304" charset="0"/>
            </a:rPr>
            <a:t>podizanje društvene svijesti o načelima kružne ekonomije</a:t>
          </a:r>
        </a:p>
      </dgm:t>
    </dgm:pt>
    <dgm:pt modelId="{B02AAA34-EA76-47D4-8BBD-D78D4CBAB167}" type="parTrans" cxnId="{CB78C968-3A50-486E-9D9E-545C7F9E8C61}">
      <dgm:prSet/>
      <dgm:spPr/>
      <dgm:t>
        <a:bodyPr/>
        <a:lstStyle/>
        <a:p>
          <a:endParaRPr lang="hr-HR" sz="1200">
            <a:latin typeface="Times New Roman" panose="02020603050405020304" charset="0"/>
            <a:cs typeface="Times New Roman" panose="02020603050405020304" charset="0"/>
          </a:endParaRPr>
        </a:p>
      </dgm:t>
    </dgm:pt>
    <dgm:pt modelId="{E6490341-BECC-4E49-BACB-BE978F48DC3A}" type="sibTrans" cxnId="{CB78C968-3A50-486E-9D9E-545C7F9E8C61}">
      <dgm:prSet/>
      <dgm:spPr/>
      <dgm:t>
        <a:bodyPr/>
        <a:lstStyle/>
        <a:p>
          <a:endParaRPr lang="hr-HR" sz="1200">
            <a:latin typeface="Times New Roman" panose="02020603050405020304" charset="0"/>
            <a:cs typeface="Times New Roman" panose="02020603050405020304" charset="0"/>
          </a:endParaRPr>
        </a:p>
      </dgm:t>
    </dgm:pt>
    <dgm:pt modelId="{23FD373E-5AD9-4C9D-A940-6DFBBDBB54C7}">
      <dgm:prSet custT="1"/>
      <dgm:spPr/>
      <dgm:t>
        <a:bodyPr/>
        <a:lstStyle/>
        <a:p>
          <a:r>
            <a:rPr lang="hr-HR" sz="1200">
              <a:latin typeface="Times New Roman" panose="02020603050405020304" charset="0"/>
              <a:cs typeface="Times New Roman" panose="02020603050405020304" charset="0"/>
            </a:rPr>
            <a:t>očuvanje kulturnih i društvenih vrijednosti</a:t>
          </a:r>
        </a:p>
      </dgm:t>
    </dgm:pt>
    <dgm:pt modelId="{0E4677F5-AC09-48D9-828A-0CC6A4299ABB}" type="parTrans" cxnId="{5B251C68-0D23-4CCF-9441-68133625B268}">
      <dgm:prSet/>
      <dgm:spPr/>
      <dgm:t>
        <a:bodyPr/>
        <a:lstStyle/>
        <a:p>
          <a:endParaRPr lang="hr-HR" sz="1200">
            <a:latin typeface="Times New Roman" panose="02020603050405020304" charset="0"/>
            <a:cs typeface="Times New Roman" panose="02020603050405020304" charset="0"/>
          </a:endParaRPr>
        </a:p>
      </dgm:t>
    </dgm:pt>
    <dgm:pt modelId="{D5ED902F-882E-49B2-9D1A-ECB6418FA051}" type="sibTrans" cxnId="{5B251C68-0D23-4CCF-9441-68133625B268}">
      <dgm:prSet/>
      <dgm:spPr/>
      <dgm:t>
        <a:bodyPr/>
        <a:lstStyle/>
        <a:p>
          <a:endParaRPr lang="hr-HR" sz="1200">
            <a:latin typeface="Times New Roman" panose="02020603050405020304" charset="0"/>
            <a:cs typeface="Times New Roman" panose="02020603050405020304" charset="0"/>
          </a:endParaRPr>
        </a:p>
      </dgm:t>
    </dgm:pt>
    <dgm:pt modelId="{3BD81492-A027-4728-8CBE-34400D2A6C6D}">
      <dgm:prSet custT="1"/>
      <dgm:spPr/>
      <dgm:t>
        <a:bodyPr/>
        <a:lstStyle/>
        <a:p>
          <a:pPr marL="114300" algn="just"/>
          <a:r>
            <a:rPr lang="hr-HR" sz="1200">
              <a:latin typeface="Times New Roman" panose="02020603050405020304" charset="0"/>
              <a:cs typeface="Times New Roman" panose="02020603050405020304" charset="0"/>
            </a:rPr>
            <a:t>smanjene količine građevnog otpada</a:t>
          </a:r>
        </a:p>
      </dgm:t>
    </dgm:pt>
    <dgm:pt modelId="{9BADE0C9-099B-4F10-A014-C71286B13C34}" type="parTrans" cxnId="{5320B4BE-B8CA-489F-BA66-45DCFE56F0DE}">
      <dgm:prSet/>
      <dgm:spPr/>
      <dgm:t>
        <a:bodyPr/>
        <a:lstStyle/>
        <a:p>
          <a:endParaRPr lang="hr-HR"/>
        </a:p>
      </dgm:t>
    </dgm:pt>
    <dgm:pt modelId="{345CF03F-C466-4C32-806C-36737C86E37A}" type="sibTrans" cxnId="{5320B4BE-B8CA-489F-BA66-45DCFE56F0DE}">
      <dgm:prSet/>
      <dgm:spPr/>
      <dgm:t>
        <a:bodyPr/>
        <a:lstStyle/>
        <a:p>
          <a:endParaRPr lang="hr-HR"/>
        </a:p>
      </dgm:t>
    </dgm:pt>
    <dgm:pt modelId="{026A8B47-E253-4BB7-A8FA-A4CC8F741016}">
      <dgm:prSet custT="1"/>
      <dgm:spPr/>
      <dgm:t>
        <a:bodyPr/>
        <a:lstStyle/>
        <a:p>
          <a:pPr marL="114300" algn="just"/>
          <a:r>
            <a:rPr lang="hr-HR" sz="1200">
              <a:latin typeface="Times New Roman" panose="02020603050405020304" charset="0"/>
              <a:cs typeface="Times New Roman" panose="02020603050405020304" charset="0"/>
            </a:rPr>
            <a:t>smanjenje ugljičnog otiska zgrada</a:t>
          </a:r>
        </a:p>
      </dgm:t>
    </dgm:pt>
    <dgm:pt modelId="{6DC3CCCF-F4D6-4BA7-98DE-359C631AA093}" type="parTrans" cxnId="{473BDBA3-4369-44CA-BEFD-2B04F8DC6443}">
      <dgm:prSet/>
      <dgm:spPr/>
      <dgm:t>
        <a:bodyPr/>
        <a:lstStyle/>
        <a:p>
          <a:endParaRPr lang="hr-HR"/>
        </a:p>
      </dgm:t>
    </dgm:pt>
    <dgm:pt modelId="{9306471D-454D-4B21-9830-E1D11F97BB0E}" type="sibTrans" cxnId="{473BDBA3-4369-44CA-BEFD-2B04F8DC6443}">
      <dgm:prSet/>
      <dgm:spPr/>
      <dgm:t>
        <a:bodyPr/>
        <a:lstStyle/>
        <a:p>
          <a:endParaRPr lang="hr-HR"/>
        </a:p>
      </dgm:t>
    </dgm:pt>
    <dgm:pt modelId="{814D6ED7-4ADC-49D7-B35D-702FF1B7D417}">
      <dgm:prSet custT="1"/>
      <dgm:spPr/>
      <dgm:t>
        <a:bodyPr/>
        <a:lstStyle/>
        <a:p>
          <a:pPr marL="114300" algn="just"/>
          <a:r>
            <a:rPr lang="hr-HR" sz="1200">
              <a:latin typeface="Times New Roman" panose="02020603050405020304" charset="0"/>
              <a:cs typeface="Times New Roman" panose="02020603050405020304" charset="0"/>
            </a:rPr>
            <a:t>kružna upotreba vode (kišnica, tehnička voda)</a:t>
          </a:r>
        </a:p>
      </dgm:t>
    </dgm:pt>
    <dgm:pt modelId="{5C0AFC2F-4579-43E2-AF84-628BE0766A7A}" type="parTrans" cxnId="{5A665B32-733B-4623-B933-30F6E99C51CE}">
      <dgm:prSet/>
      <dgm:spPr/>
      <dgm:t>
        <a:bodyPr/>
        <a:lstStyle/>
        <a:p>
          <a:endParaRPr lang="hr-HR"/>
        </a:p>
      </dgm:t>
    </dgm:pt>
    <dgm:pt modelId="{CA307D76-E709-481E-8737-143909A6943B}" type="sibTrans" cxnId="{5A665B32-733B-4623-B933-30F6E99C51CE}">
      <dgm:prSet/>
      <dgm:spPr/>
      <dgm:t>
        <a:bodyPr/>
        <a:lstStyle/>
        <a:p>
          <a:endParaRPr lang="hr-HR"/>
        </a:p>
      </dgm:t>
    </dgm:pt>
    <dgm:pt modelId="{638C281D-96A2-46BD-AF29-A66B77ACB204}">
      <dgm:prSet custT="1"/>
      <dgm:spPr/>
      <dgm:t>
        <a:bodyPr/>
        <a:lstStyle/>
        <a:p>
          <a:pPr marL="114300" algn="just"/>
          <a:r>
            <a:rPr lang="hr-HR" sz="1200">
              <a:latin typeface="Times New Roman" panose="02020603050405020304" charset="0"/>
              <a:cs typeface="Times New Roman" panose="02020603050405020304" charset="0"/>
            </a:rPr>
            <a:t>razvoj zelene infrastrukture u urbanim područjima</a:t>
          </a:r>
        </a:p>
      </dgm:t>
    </dgm:pt>
    <dgm:pt modelId="{C669BE9E-E503-4B56-8F1B-DEEB908F17B0}" type="parTrans" cxnId="{6E477895-80E3-450B-AD67-D178E13CE6AB}">
      <dgm:prSet/>
      <dgm:spPr/>
      <dgm:t>
        <a:bodyPr/>
        <a:lstStyle/>
        <a:p>
          <a:endParaRPr lang="hr-HR"/>
        </a:p>
      </dgm:t>
    </dgm:pt>
    <dgm:pt modelId="{F5369309-3848-4ECD-85EB-A0E690E4CD87}" type="sibTrans" cxnId="{6E477895-80E3-450B-AD67-D178E13CE6AB}">
      <dgm:prSet/>
      <dgm:spPr/>
      <dgm:t>
        <a:bodyPr/>
        <a:lstStyle/>
        <a:p>
          <a:endParaRPr lang="hr-HR"/>
        </a:p>
      </dgm:t>
    </dgm:pt>
    <dgm:pt modelId="{9F93ABBD-AC36-46F5-A247-E95C68B32147}">
      <dgm:prSet custT="1"/>
      <dgm:spPr/>
      <dgm:t>
        <a:bodyPr/>
        <a:lstStyle/>
        <a:p>
          <a:pPr algn="just"/>
          <a:r>
            <a:rPr lang="hr-HR" sz="1200">
              <a:latin typeface="Times New Roman" panose="02020603050405020304" charset="0"/>
              <a:cs typeface="Times New Roman" panose="02020603050405020304" charset="0"/>
            </a:rPr>
            <a:t>troškovno optimizirani cjeloživotni vijek zgrada</a:t>
          </a:r>
        </a:p>
      </dgm:t>
    </dgm:pt>
    <dgm:pt modelId="{86193C6A-5B0B-4A40-A9EF-E0A3352D2F65}" type="parTrans" cxnId="{636C6AE9-0508-42A1-AC2E-1ACA1DDA3879}">
      <dgm:prSet/>
      <dgm:spPr/>
      <dgm:t>
        <a:bodyPr/>
        <a:lstStyle/>
        <a:p>
          <a:endParaRPr lang="hr-HR"/>
        </a:p>
      </dgm:t>
    </dgm:pt>
    <dgm:pt modelId="{A5D96842-00BE-4547-82F1-4E835118E348}" type="sibTrans" cxnId="{636C6AE9-0508-42A1-AC2E-1ACA1DDA3879}">
      <dgm:prSet/>
      <dgm:spPr/>
      <dgm:t>
        <a:bodyPr/>
        <a:lstStyle/>
        <a:p>
          <a:endParaRPr lang="hr-HR"/>
        </a:p>
      </dgm:t>
    </dgm:pt>
    <dgm:pt modelId="{1B47A4B8-EDAF-4EA9-9E0C-2B2E6502C27C}">
      <dgm:prSet custT="1"/>
      <dgm:spPr/>
      <dgm:t>
        <a:bodyPr/>
        <a:lstStyle/>
        <a:p>
          <a:pPr algn="just"/>
          <a:r>
            <a:rPr lang="hr-HR" sz="1200">
              <a:latin typeface="Times New Roman" panose="02020603050405020304" charset="0"/>
              <a:cs typeface="Times New Roman" panose="02020603050405020304" charset="0"/>
            </a:rPr>
            <a:t>povećanje stope zaposlenosti</a:t>
          </a:r>
        </a:p>
      </dgm:t>
    </dgm:pt>
    <dgm:pt modelId="{CE650934-8D39-4663-9EFD-F852F2BA3E40}" type="parTrans" cxnId="{A572B90C-838D-41BC-A895-B7F00936B73D}">
      <dgm:prSet/>
      <dgm:spPr/>
      <dgm:t>
        <a:bodyPr/>
        <a:lstStyle/>
        <a:p>
          <a:endParaRPr lang="hr-HR"/>
        </a:p>
      </dgm:t>
    </dgm:pt>
    <dgm:pt modelId="{127809C3-7BD6-483E-8481-361E762CE100}" type="sibTrans" cxnId="{A572B90C-838D-41BC-A895-B7F00936B73D}">
      <dgm:prSet/>
      <dgm:spPr/>
      <dgm:t>
        <a:bodyPr/>
        <a:lstStyle/>
        <a:p>
          <a:endParaRPr lang="hr-HR"/>
        </a:p>
      </dgm:t>
    </dgm:pt>
    <dgm:pt modelId="{11B9310B-B5FC-4A88-A755-9998867640C7}" type="pres">
      <dgm:prSet presAssocID="{F5DFE925-82AF-4475-ACB4-A671200CE193}" presName="linear" presStyleCnt="0">
        <dgm:presLayoutVars>
          <dgm:dir/>
          <dgm:animLvl val="lvl"/>
          <dgm:resizeHandles val="exact"/>
        </dgm:presLayoutVars>
      </dgm:prSet>
      <dgm:spPr/>
    </dgm:pt>
    <dgm:pt modelId="{EED2D33A-E36F-47FF-B672-D2E3A7B4D314}" type="pres">
      <dgm:prSet presAssocID="{FC010AF8-DE5C-42C8-B8E0-5CFBB22ABD73}" presName="parentLin" presStyleCnt="0"/>
      <dgm:spPr/>
    </dgm:pt>
    <dgm:pt modelId="{58B846F6-F21D-4188-B6CA-A4E3C15E541F}" type="pres">
      <dgm:prSet presAssocID="{FC010AF8-DE5C-42C8-B8E0-5CFBB22ABD73}" presName="parentLeftMargin" presStyleLbl="node1" presStyleIdx="0" presStyleCnt="3"/>
      <dgm:spPr/>
    </dgm:pt>
    <dgm:pt modelId="{79B2A09D-BF2F-4A6B-A4C5-E504AE384696}" type="pres">
      <dgm:prSet presAssocID="{FC010AF8-DE5C-42C8-B8E0-5CFBB22ABD73}" presName="parentText" presStyleLbl="node1" presStyleIdx="0" presStyleCnt="3">
        <dgm:presLayoutVars>
          <dgm:chMax val="0"/>
          <dgm:bulletEnabled val="1"/>
        </dgm:presLayoutVars>
      </dgm:prSet>
      <dgm:spPr/>
    </dgm:pt>
    <dgm:pt modelId="{19F60774-44CF-4CD3-89D0-1BDE082A8820}" type="pres">
      <dgm:prSet presAssocID="{FC010AF8-DE5C-42C8-B8E0-5CFBB22ABD73}" presName="negativeSpace" presStyleCnt="0"/>
      <dgm:spPr/>
    </dgm:pt>
    <dgm:pt modelId="{3BD31082-5A0A-4B2F-B778-94DA62226926}" type="pres">
      <dgm:prSet presAssocID="{FC010AF8-DE5C-42C8-B8E0-5CFBB22ABD73}" presName="childText" presStyleLbl="conFgAcc1" presStyleIdx="0" presStyleCnt="3">
        <dgm:presLayoutVars>
          <dgm:bulletEnabled val="1"/>
        </dgm:presLayoutVars>
      </dgm:prSet>
      <dgm:spPr/>
    </dgm:pt>
    <dgm:pt modelId="{1842B7DB-F6B0-46A0-9371-BDC71FC02B2E}" type="pres">
      <dgm:prSet presAssocID="{FF16E628-1D55-44E0-A971-243E7505E524}" presName="spaceBetweenRectangles" presStyleCnt="0"/>
      <dgm:spPr/>
    </dgm:pt>
    <dgm:pt modelId="{2FD6FA92-9AD7-4BEE-A098-B599FF714E0A}" type="pres">
      <dgm:prSet presAssocID="{3CFF1ECB-AD09-4F71-9515-3695A5FDDC79}" presName="parentLin" presStyleCnt="0"/>
      <dgm:spPr/>
    </dgm:pt>
    <dgm:pt modelId="{1BDD6351-76D9-442C-BFB1-E3A375363DDD}" type="pres">
      <dgm:prSet presAssocID="{3CFF1ECB-AD09-4F71-9515-3695A5FDDC79}" presName="parentLeftMargin" presStyleLbl="node1" presStyleIdx="0" presStyleCnt="3"/>
      <dgm:spPr/>
    </dgm:pt>
    <dgm:pt modelId="{50DC9E0C-4941-434B-8E64-DD02A686EF99}" type="pres">
      <dgm:prSet presAssocID="{3CFF1ECB-AD09-4F71-9515-3695A5FDDC79}" presName="parentText" presStyleLbl="node1" presStyleIdx="1" presStyleCnt="3">
        <dgm:presLayoutVars>
          <dgm:chMax val="0"/>
          <dgm:bulletEnabled val="1"/>
        </dgm:presLayoutVars>
      </dgm:prSet>
      <dgm:spPr/>
    </dgm:pt>
    <dgm:pt modelId="{328F7F53-0254-460A-94A2-31CCC6175C5A}" type="pres">
      <dgm:prSet presAssocID="{3CFF1ECB-AD09-4F71-9515-3695A5FDDC79}" presName="negativeSpace" presStyleCnt="0"/>
      <dgm:spPr/>
    </dgm:pt>
    <dgm:pt modelId="{BDB3A22A-7C87-4297-9248-CE56924669BE}" type="pres">
      <dgm:prSet presAssocID="{3CFF1ECB-AD09-4F71-9515-3695A5FDDC79}" presName="childText" presStyleLbl="conFgAcc1" presStyleIdx="1" presStyleCnt="3">
        <dgm:presLayoutVars>
          <dgm:bulletEnabled val="1"/>
        </dgm:presLayoutVars>
      </dgm:prSet>
      <dgm:spPr/>
    </dgm:pt>
    <dgm:pt modelId="{28513FC6-F91E-4740-AB1F-AB6C802A6399}" type="pres">
      <dgm:prSet presAssocID="{9A7D6B9C-76B1-4955-8CE6-2530CCF932B4}" presName="spaceBetweenRectangles" presStyleCnt="0"/>
      <dgm:spPr/>
    </dgm:pt>
    <dgm:pt modelId="{F855FB40-0957-4755-96F1-9A0A6ECF294A}" type="pres">
      <dgm:prSet presAssocID="{C8E47129-97F5-43A3-907D-759E2D50539E}" presName="parentLin" presStyleCnt="0"/>
      <dgm:spPr/>
    </dgm:pt>
    <dgm:pt modelId="{F44D4401-E81C-47F3-B4F7-89203D46E2AD}" type="pres">
      <dgm:prSet presAssocID="{C8E47129-97F5-43A3-907D-759E2D50539E}" presName="parentLeftMargin" presStyleLbl="node1" presStyleIdx="1" presStyleCnt="3"/>
      <dgm:spPr/>
    </dgm:pt>
    <dgm:pt modelId="{57973AED-4ED1-4055-A3DC-7F44880DAF38}" type="pres">
      <dgm:prSet presAssocID="{C8E47129-97F5-43A3-907D-759E2D50539E}" presName="parentText" presStyleLbl="node1" presStyleIdx="2" presStyleCnt="3">
        <dgm:presLayoutVars>
          <dgm:chMax val="0"/>
          <dgm:bulletEnabled val="1"/>
        </dgm:presLayoutVars>
      </dgm:prSet>
      <dgm:spPr/>
    </dgm:pt>
    <dgm:pt modelId="{A6C726A9-98E7-4D72-B51D-9760A593AFA4}" type="pres">
      <dgm:prSet presAssocID="{C8E47129-97F5-43A3-907D-759E2D50539E}" presName="negativeSpace" presStyleCnt="0"/>
      <dgm:spPr/>
    </dgm:pt>
    <dgm:pt modelId="{FFF8D9A7-AC2E-4E22-ABD0-B7F201AF2D4D}" type="pres">
      <dgm:prSet presAssocID="{C8E47129-97F5-43A3-907D-759E2D50539E}" presName="childText" presStyleLbl="conFgAcc1" presStyleIdx="2" presStyleCnt="3">
        <dgm:presLayoutVars>
          <dgm:bulletEnabled val="1"/>
        </dgm:presLayoutVars>
      </dgm:prSet>
      <dgm:spPr/>
    </dgm:pt>
  </dgm:ptLst>
  <dgm:cxnLst>
    <dgm:cxn modelId="{247CF602-1FBE-438D-BFA2-C4CB135BAC07}" type="presOf" srcId="{814D6ED7-4ADC-49D7-B35D-702FF1B7D417}" destId="{3BD31082-5A0A-4B2F-B778-94DA62226926}" srcOrd="0" destOrd="8" presId="urn:microsoft.com/office/officeart/2005/8/layout/list1#2"/>
    <dgm:cxn modelId="{A572B90C-838D-41BC-A895-B7F00936B73D}" srcId="{3CFF1ECB-AD09-4F71-9515-3695A5FDDC79}" destId="{1B47A4B8-EDAF-4EA9-9E0C-2B2E6502C27C}" srcOrd="2" destOrd="0" parTransId="{CE650934-8D39-4663-9EFD-F852F2BA3E40}" sibTransId="{127809C3-7BD6-483E-8481-361E762CE100}"/>
    <dgm:cxn modelId="{ACA50916-E69A-480D-B6D2-29FCA46CC516}" type="presOf" srcId="{1B47A4B8-EDAF-4EA9-9E0C-2B2E6502C27C}" destId="{BDB3A22A-7C87-4297-9248-CE56924669BE}" srcOrd="0" destOrd="2" presId="urn:microsoft.com/office/officeart/2005/8/layout/list1#2"/>
    <dgm:cxn modelId="{1F54CD17-79E1-49FA-8C70-B30206705521}" type="presOf" srcId="{BEA438FD-1390-47DA-835C-58EDD61671D5}" destId="{FFF8D9A7-AC2E-4E22-ABD0-B7F201AF2D4D}" srcOrd="0" destOrd="1" presId="urn:microsoft.com/office/officeart/2005/8/layout/list1#2"/>
    <dgm:cxn modelId="{03F42E18-D773-4912-BB36-6FCC2173692D}" srcId="{C8E47129-97F5-43A3-907D-759E2D50539E}" destId="{2ED3E739-A565-4502-871B-3782F1F3D092}" srcOrd="0" destOrd="0" parTransId="{977E6C78-713D-46DA-8A44-84B1EA1CD1A5}" sibTransId="{037C4E65-E8BA-46CC-971C-5D05F91455E1}"/>
    <dgm:cxn modelId="{73CBE119-A446-4605-8E16-FA1EEFC03779}" type="presOf" srcId="{60F5A411-26F5-4EF0-9040-1D6D4053F605}" destId="{3BD31082-5A0A-4B2F-B778-94DA62226926}" srcOrd="0" destOrd="1" presId="urn:microsoft.com/office/officeart/2005/8/layout/list1#2"/>
    <dgm:cxn modelId="{D637F322-0D39-4928-813C-B510E9273D77}" type="presOf" srcId="{F5DFE925-82AF-4475-ACB4-A671200CE193}" destId="{11B9310B-B5FC-4A88-A755-9998867640C7}" srcOrd="0" destOrd="0" presId="urn:microsoft.com/office/officeart/2005/8/layout/list1#2"/>
    <dgm:cxn modelId="{0FCFC123-9436-4FE6-A334-6ED6FC4F9848}" type="presOf" srcId="{3BD81492-A027-4728-8CBE-34400D2A6C6D}" destId="{3BD31082-5A0A-4B2F-B778-94DA62226926}" srcOrd="0" destOrd="13" presId="urn:microsoft.com/office/officeart/2005/8/layout/list1#2"/>
    <dgm:cxn modelId="{D2E17E29-FDAE-4080-9F14-22F759C71E55}" srcId="{C8E47129-97F5-43A3-907D-759E2D50539E}" destId="{7BC8A23F-9C31-493D-A089-55B988A37097}" srcOrd="3" destOrd="0" parTransId="{CE5AECBB-97F7-49C2-89DB-241DBB33A305}" sibTransId="{E44F42C0-41FE-4EDD-A46C-8915CC6C9DD5}"/>
    <dgm:cxn modelId="{03C81A2B-9521-4351-A3F4-9700DBBCD4D5}" type="presOf" srcId="{96C0E11C-FCC2-4E50-AFE2-66F95B788F03}" destId="{3BD31082-5A0A-4B2F-B778-94DA62226926}" srcOrd="0" destOrd="5" presId="urn:microsoft.com/office/officeart/2005/8/layout/list1#2"/>
    <dgm:cxn modelId="{2FE9A72B-FA85-4145-8A46-4FC9A1EC5487}" srcId="{FC010AF8-DE5C-42C8-B8E0-5CFBB22ABD73}" destId="{96C0E11C-FCC2-4E50-AFE2-66F95B788F03}" srcOrd="5" destOrd="0" parTransId="{32347BDD-5471-45A6-B956-518E75D5ACFA}" sibTransId="{3B32BCB9-FFDE-4EE7-B682-E3633A3B1799}"/>
    <dgm:cxn modelId="{5A665B32-733B-4623-B933-30F6E99C51CE}" srcId="{FC010AF8-DE5C-42C8-B8E0-5CFBB22ABD73}" destId="{814D6ED7-4ADC-49D7-B35D-702FF1B7D417}" srcOrd="8" destOrd="0" parTransId="{5C0AFC2F-4579-43E2-AF84-628BE0766A7A}" sibTransId="{CA307D76-E709-481E-8737-143909A6943B}"/>
    <dgm:cxn modelId="{A3044033-20B7-4C59-BB90-8832CD959749}" srcId="{FC010AF8-DE5C-42C8-B8E0-5CFBB22ABD73}" destId="{DA544F82-69AC-43A3-9F22-BE474F10C3EE}" srcOrd="0" destOrd="0" parTransId="{13E432F3-9ABC-495C-8C56-7FD00CD3E159}" sibTransId="{BD7D34F1-D287-46AB-9156-8BB8CDF7B6CF}"/>
    <dgm:cxn modelId="{24219134-0ACF-4389-AA9D-3AB2FDA02291}" type="presOf" srcId="{FC010AF8-DE5C-42C8-B8E0-5CFBB22ABD73}" destId="{79B2A09D-BF2F-4A6B-A4C5-E504AE384696}" srcOrd="1" destOrd="0" presId="urn:microsoft.com/office/officeart/2005/8/layout/list1#2"/>
    <dgm:cxn modelId="{8D434238-4D82-4111-BFA1-F8828DAAC4C6}" type="presOf" srcId="{B7BF3413-1B8F-4E19-8B6F-4B86D8C20F49}" destId="{3BD31082-5A0A-4B2F-B778-94DA62226926}" srcOrd="0" destOrd="6" presId="urn:microsoft.com/office/officeart/2005/8/layout/list1#2"/>
    <dgm:cxn modelId="{F3389839-D2AF-407A-9240-8F4B93790C63}" srcId="{FC010AF8-DE5C-42C8-B8E0-5CFBB22ABD73}" destId="{3C22F16D-9705-47F7-A125-5108C7BEB4D8}" srcOrd="9" destOrd="0" parTransId="{D16D7D88-4C6C-4678-8015-D6AF1B7D140A}" sibTransId="{B373DBA3-4D0B-4677-83A3-E7A70D6B62D9}"/>
    <dgm:cxn modelId="{BF8FDC39-AD86-47B9-937E-614ABAB0D3E5}" srcId="{F5DFE925-82AF-4475-ACB4-A671200CE193}" destId="{FC010AF8-DE5C-42C8-B8E0-5CFBB22ABD73}" srcOrd="0" destOrd="0" parTransId="{6D64079E-FF85-4B41-BFAD-07495F0FF443}" sibTransId="{FF16E628-1D55-44E0-A971-243E7505E524}"/>
    <dgm:cxn modelId="{D0CF183A-2065-46D4-96A1-610484BA7BB3}" type="presOf" srcId="{7BC8A23F-9C31-493D-A089-55B988A37097}" destId="{FFF8D9A7-AC2E-4E22-ABD0-B7F201AF2D4D}" srcOrd="0" destOrd="3" presId="urn:microsoft.com/office/officeart/2005/8/layout/list1#2"/>
    <dgm:cxn modelId="{AC52F73E-8A1F-4891-8374-B90C1FE23947}" type="presOf" srcId="{ECF4B394-25CE-440A-A721-AD6981407A0A}" destId="{FFF8D9A7-AC2E-4E22-ABD0-B7F201AF2D4D}" srcOrd="0" destOrd="2" presId="urn:microsoft.com/office/officeart/2005/8/layout/list1#2"/>
    <dgm:cxn modelId="{11CF943F-B9F9-489E-8CC0-3B0AF3599A98}" type="presOf" srcId="{BF8946E3-0687-4764-A846-A9F0383DEF76}" destId="{FFF8D9A7-AC2E-4E22-ABD0-B7F201AF2D4D}" srcOrd="0" destOrd="4" presId="urn:microsoft.com/office/officeart/2005/8/layout/list1#2"/>
    <dgm:cxn modelId="{DE6A8145-8020-4AA0-A913-420186ADF25A}" type="presOf" srcId="{9BA210DB-17C3-4FFC-900A-6B735F3A9DFE}" destId="{3BD31082-5A0A-4B2F-B778-94DA62226926}" srcOrd="0" destOrd="2" presId="urn:microsoft.com/office/officeart/2005/8/layout/list1#2"/>
    <dgm:cxn modelId="{F30AD366-3279-43AB-84A3-7784B56F8339}" type="presOf" srcId="{3C22F16D-9705-47F7-A125-5108C7BEB4D8}" destId="{3BD31082-5A0A-4B2F-B778-94DA62226926}" srcOrd="0" destOrd="9" presId="urn:microsoft.com/office/officeart/2005/8/layout/list1#2"/>
    <dgm:cxn modelId="{5B251C68-0D23-4CCF-9441-68133625B268}" srcId="{C8E47129-97F5-43A3-907D-759E2D50539E}" destId="{23FD373E-5AD9-4C9D-A940-6DFBBDBB54C7}" srcOrd="6" destOrd="0" parTransId="{0E4677F5-AC09-48D9-828A-0CC6A4299ABB}" sibTransId="{D5ED902F-882E-49B2-9D1A-ECB6418FA051}"/>
    <dgm:cxn modelId="{CB78C968-3A50-486E-9D9E-545C7F9E8C61}" srcId="{C8E47129-97F5-43A3-907D-759E2D50539E}" destId="{FAE84206-36AD-490C-9572-B901C82E3358}" srcOrd="5" destOrd="0" parTransId="{B02AAA34-EA76-47D4-8BBD-D78D4CBAB167}" sibTransId="{E6490341-BECC-4E49-BACB-BE978F48DC3A}"/>
    <dgm:cxn modelId="{E50FB94B-EF7E-4CEC-A55D-0C9F85928999}" srcId="{C8E47129-97F5-43A3-907D-759E2D50539E}" destId="{BEA438FD-1390-47DA-835C-58EDD61671D5}" srcOrd="1" destOrd="0" parTransId="{45BFB907-970D-4877-A853-C4221A604BA2}" sibTransId="{6979C8FF-E6BF-42BC-BE58-FCA8B5D9ABC4}"/>
    <dgm:cxn modelId="{68B8D86D-21A4-4AE9-AFE0-5E2F3F7E4CD3}" type="presOf" srcId="{026A8B47-E253-4BB7-A8FA-A4CC8F741016}" destId="{3BD31082-5A0A-4B2F-B778-94DA62226926}" srcOrd="0" destOrd="3" presId="urn:microsoft.com/office/officeart/2005/8/layout/list1#2"/>
    <dgm:cxn modelId="{B6D3A250-14C6-422D-8C1C-54C412335D3F}" type="presOf" srcId="{63E1A4A2-0380-4E91-96E5-CBDB44BACE3B}" destId="{3BD31082-5A0A-4B2F-B778-94DA62226926}" srcOrd="0" destOrd="12" presId="urn:microsoft.com/office/officeart/2005/8/layout/list1#2"/>
    <dgm:cxn modelId="{78432251-C9AA-469B-8F88-D38D4A331817}" type="presOf" srcId="{9F93ABBD-AC36-46F5-A247-E95C68B32147}" destId="{BDB3A22A-7C87-4297-9248-CE56924669BE}" srcOrd="0" destOrd="3" presId="urn:microsoft.com/office/officeart/2005/8/layout/list1#2"/>
    <dgm:cxn modelId="{A0A1B675-8875-4B89-A6DB-B92FDFFA25AE}" srcId="{FC010AF8-DE5C-42C8-B8E0-5CFBB22ABD73}" destId="{60F5A411-26F5-4EF0-9040-1D6D4053F605}" srcOrd="1" destOrd="0" parTransId="{8F5F5ED0-D2C5-4671-84CC-3D852B2EAACA}" sibTransId="{565768FF-340A-4258-8C74-A15B5E465082}"/>
    <dgm:cxn modelId="{8C655D76-0876-46D8-ADEF-C707341EC67D}" srcId="{FC010AF8-DE5C-42C8-B8E0-5CFBB22ABD73}" destId="{CAEC597B-E5D2-4C27-81FD-0CD2A4811B95}" srcOrd="11" destOrd="0" parTransId="{49F0E357-AD0D-45D1-B8B7-E82889F1B984}" sibTransId="{98A0012B-8E55-485F-9CA4-2545CB618E20}"/>
    <dgm:cxn modelId="{B3FF697C-2B34-478B-90A9-F7CF5BDA6AA6}" type="presOf" srcId="{C8E47129-97F5-43A3-907D-759E2D50539E}" destId="{F44D4401-E81C-47F3-B4F7-89203D46E2AD}" srcOrd="0" destOrd="0" presId="urn:microsoft.com/office/officeart/2005/8/layout/list1#2"/>
    <dgm:cxn modelId="{D7F82B81-71EA-4776-82FF-29E5E3A974D5}" type="presOf" srcId="{3CFF1ECB-AD09-4F71-9515-3695A5FDDC79}" destId="{1BDD6351-76D9-442C-BFB1-E3A375363DDD}" srcOrd="0" destOrd="0" presId="urn:microsoft.com/office/officeart/2005/8/layout/list1#2"/>
    <dgm:cxn modelId="{FECB8882-9D45-456B-BF71-27DEBCA14CE4}" type="presOf" srcId="{65007593-9887-4BAB-9694-C0B7A42B7B94}" destId="{3BD31082-5A0A-4B2F-B778-94DA62226926}" srcOrd="0" destOrd="4" presId="urn:microsoft.com/office/officeart/2005/8/layout/list1#2"/>
    <dgm:cxn modelId="{8E2E0086-B224-4E6B-8E49-9D6C081FCBC6}" type="presOf" srcId="{DA544F82-69AC-43A3-9F22-BE474F10C3EE}" destId="{3BD31082-5A0A-4B2F-B778-94DA62226926}" srcOrd="0" destOrd="0" presId="urn:microsoft.com/office/officeart/2005/8/layout/list1#2"/>
    <dgm:cxn modelId="{374C4C88-BDB1-45F1-BC52-7C5F0E6BC0AE}" srcId="{3CFF1ECB-AD09-4F71-9515-3695A5FDDC79}" destId="{51E9C99E-3E12-4F0C-98FE-9F7E96D935A2}" srcOrd="1" destOrd="0" parTransId="{940BB5F7-8104-45A5-AADF-5BD21FC838C8}" sibTransId="{40AF19F1-D513-4DD1-9E43-FD6BAEE7A2BF}"/>
    <dgm:cxn modelId="{6E477895-80E3-450B-AD67-D178E13CE6AB}" srcId="{FC010AF8-DE5C-42C8-B8E0-5CFBB22ABD73}" destId="{638C281D-96A2-46BD-AF29-A66B77ACB204}" srcOrd="10" destOrd="0" parTransId="{C669BE9E-E503-4B56-8F1B-DEEB908F17B0}" sibTransId="{F5369309-3848-4ECD-85EB-A0E690E4CD87}"/>
    <dgm:cxn modelId="{F0F6B598-CFEC-4F08-AE21-06D8462B3C5D}" type="presOf" srcId="{C8E47129-97F5-43A3-907D-759E2D50539E}" destId="{57973AED-4ED1-4055-A3DC-7F44880DAF38}" srcOrd="1" destOrd="0" presId="urn:microsoft.com/office/officeart/2005/8/layout/list1#2"/>
    <dgm:cxn modelId="{76B56C9B-721D-468C-AC71-0836A5E8ABD5}" type="presOf" srcId="{C1E80080-160D-413B-BCBD-997EF92799D8}" destId="{BDB3A22A-7C87-4297-9248-CE56924669BE}" srcOrd="0" destOrd="0" presId="urn:microsoft.com/office/officeart/2005/8/layout/list1#2"/>
    <dgm:cxn modelId="{C15B5DA3-6EEB-4BAC-A8D5-8A7289D52CC7}" type="presOf" srcId="{8A6BEAF4-428C-4526-A9FE-B8091945B926}" destId="{3BD31082-5A0A-4B2F-B778-94DA62226926}" srcOrd="0" destOrd="7" presId="urn:microsoft.com/office/officeart/2005/8/layout/list1#2"/>
    <dgm:cxn modelId="{473BDBA3-4369-44CA-BEFD-2B04F8DC6443}" srcId="{FC010AF8-DE5C-42C8-B8E0-5CFBB22ABD73}" destId="{026A8B47-E253-4BB7-A8FA-A4CC8F741016}" srcOrd="3" destOrd="0" parTransId="{6DC3CCCF-F4D6-4BA7-98DE-359C631AA093}" sibTransId="{9306471D-454D-4B21-9830-E1D11F97BB0E}"/>
    <dgm:cxn modelId="{1702AAAF-8DDE-4C0D-9838-F934C377527B}" srcId="{FC010AF8-DE5C-42C8-B8E0-5CFBB22ABD73}" destId="{63E1A4A2-0380-4E91-96E5-CBDB44BACE3B}" srcOrd="12" destOrd="0" parTransId="{46051991-6568-44BC-B85D-238365DDB69E}" sibTransId="{80555732-4A1F-4BED-893D-D3B22202A6B6}"/>
    <dgm:cxn modelId="{8B7E88B1-962F-4E7A-A883-790E083FBAD6}" srcId="{F5DFE925-82AF-4475-ACB4-A671200CE193}" destId="{3CFF1ECB-AD09-4F71-9515-3695A5FDDC79}" srcOrd="1" destOrd="0" parTransId="{A721F087-2EDB-4EB9-889A-6B15CCEC2E54}" sibTransId="{9A7D6B9C-76B1-4955-8CE6-2530CCF932B4}"/>
    <dgm:cxn modelId="{240ED2B5-BF9E-4DB2-81DB-542E12920341}" type="presOf" srcId="{2ED3E739-A565-4502-871B-3782F1F3D092}" destId="{FFF8D9A7-AC2E-4E22-ABD0-B7F201AF2D4D}" srcOrd="0" destOrd="0" presId="urn:microsoft.com/office/officeart/2005/8/layout/list1#2"/>
    <dgm:cxn modelId="{C81A83B7-32CD-4844-A27D-18853EB2245F}" srcId="{F5DFE925-82AF-4475-ACB4-A671200CE193}" destId="{C8E47129-97F5-43A3-907D-759E2D50539E}" srcOrd="2" destOrd="0" parTransId="{598801A2-2CDF-46E2-B99F-2C6DE4CD42A6}" sibTransId="{0E242370-FFEF-409A-91D0-EF80C26E9F89}"/>
    <dgm:cxn modelId="{D4D7A2BA-53AF-4E76-A108-02430829CF16}" srcId="{FC010AF8-DE5C-42C8-B8E0-5CFBB22ABD73}" destId="{9BA210DB-17C3-4FFC-900A-6B735F3A9DFE}" srcOrd="2" destOrd="0" parTransId="{042A6B05-CE29-424C-AE48-272B908AFD54}" sibTransId="{07A04370-D65B-4BDA-9756-DCEA00945DC0}"/>
    <dgm:cxn modelId="{324776BB-FA86-4FAF-8115-0F22B1742B76}" type="presOf" srcId="{3CFF1ECB-AD09-4F71-9515-3695A5FDDC79}" destId="{50DC9E0C-4941-434B-8E64-DD02A686EF99}" srcOrd="1" destOrd="0" presId="urn:microsoft.com/office/officeart/2005/8/layout/list1#2"/>
    <dgm:cxn modelId="{5320B4BE-B8CA-489F-BA66-45DCFE56F0DE}" srcId="{FC010AF8-DE5C-42C8-B8E0-5CFBB22ABD73}" destId="{3BD81492-A027-4728-8CBE-34400D2A6C6D}" srcOrd="13" destOrd="0" parTransId="{9BADE0C9-099B-4F10-A014-C71286B13C34}" sibTransId="{345CF03F-C466-4C32-806C-36737C86E37A}"/>
    <dgm:cxn modelId="{3B64E0C0-E5F1-4EDB-A63E-F3F61A9EDD02}" srcId="{C8E47129-97F5-43A3-907D-759E2D50539E}" destId="{BF8946E3-0687-4764-A846-A9F0383DEF76}" srcOrd="4" destOrd="0" parTransId="{4D46EE42-BF00-4472-B641-67648E4052E7}" sibTransId="{4AF374A4-84AE-41E7-9615-3861419BEF69}"/>
    <dgm:cxn modelId="{183C7FD7-1822-4B69-81DA-38C59D9CB744}" type="presOf" srcId="{FC010AF8-DE5C-42C8-B8E0-5CFBB22ABD73}" destId="{58B846F6-F21D-4188-B6CA-A4E3C15E541F}" srcOrd="0" destOrd="0" presId="urn:microsoft.com/office/officeart/2005/8/layout/list1#2"/>
    <dgm:cxn modelId="{CE40A9D8-4BB7-4DB8-BEB3-F4C755F9E1A7}" type="presOf" srcId="{CAEC597B-E5D2-4C27-81FD-0CD2A4811B95}" destId="{3BD31082-5A0A-4B2F-B778-94DA62226926}" srcOrd="0" destOrd="11" presId="urn:microsoft.com/office/officeart/2005/8/layout/list1#2"/>
    <dgm:cxn modelId="{92B8BAE2-A697-4E70-A0E0-C559F0CEBD65}" type="presOf" srcId="{23FD373E-5AD9-4C9D-A940-6DFBBDBB54C7}" destId="{FFF8D9A7-AC2E-4E22-ABD0-B7F201AF2D4D}" srcOrd="0" destOrd="6" presId="urn:microsoft.com/office/officeart/2005/8/layout/list1#2"/>
    <dgm:cxn modelId="{31C593E5-0D3E-4420-9483-129BD272F5F8}" srcId="{3CFF1ECB-AD09-4F71-9515-3695A5FDDC79}" destId="{C1E80080-160D-413B-BCBD-997EF92799D8}" srcOrd="0" destOrd="0" parTransId="{31EFBDF5-ADA7-4D5C-B6D8-5FC51DD6DB30}" sibTransId="{12351196-D930-43D5-8233-F2267C9BFE33}"/>
    <dgm:cxn modelId="{65E56CE6-67D8-4D8E-A5AE-208B1E2577A9}" type="presOf" srcId="{51E9C99E-3E12-4F0C-98FE-9F7E96D935A2}" destId="{BDB3A22A-7C87-4297-9248-CE56924669BE}" srcOrd="0" destOrd="1" presId="urn:microsoft.com/office/officeart/2005/8/layout/list1#2"/>
    <dgm:cxn modelId="{636C6AE9-0508-42A1-AC2E-1ACA1DDA3879}" srcId="{3CFF1ECB-AD09-4F71-9515-3695A5FDDC79}" destId="{9F93ABBD-AC36-46F5-A247-E95C68B32147}" srcOrd="3" destOrd="0" parTransId="{86193C6A-5B0B-4A40-A9EF-E0A3352D2F65}" sibTransId="{A5D96842-00BE-4547-82F1-4E835118E348}"/>
    <dgm:cxn modelId="{E58C27F0-6C20-46BC-B898-A8BAE199A0FE}" type="presOf" srcId="{638C281D-96A2-46BD-AF29-A66B77ACB204}" destId="{3BD31082-5A0A-4B2F-B778-94DA62226926}" srcOrd="0" destOrd="10" presId="urn:microsoft.com/office/officeart/2005/8/layout/list1#2"/>
    <dgm:cxn modelId="{A17981F2-886B-4E52-9A39-634D0E4E66FE}" srcId="{FC010AF8-DE5C-42C8-B8E0-5CFBB22ABD73}" destId="{65007593-9887-4BAB-9694-C0B7A42B7B94}" srcOrd="4" destOrd="0" parTransId="{4D3B25B7-14B8-4C90-B48D-498B7F6C7D75}" sibTransId="{C5A38B10-6BA9-46FF-90DE-F2C9352854C4}"/>
    <dgm:cxn modelId="{A3CFF5F5-98F9-45CC-8EB4-A91DFD37B6A4}" srcId="{FC010AF8-DE5C-42C8-B8E0-5CFBB22ABD73}" destId="{8A6BEAF4-428C-4526-A9FE-B8091945B926}" srcOrd="7" destOrd="0" parTransId="{88A4F319-73AD-4EE2-9352-39923A1EEBE5}" sibTransId="{3AF4D397-DBB2-4C02-B16C-3793AFDE20FC}"/>
    <dgm:cxn modelId="{2F17AAF6-C33F-4E66-8DB0-BE07B269F1B3}" type="presOf" srcId="{FAE84206-36AD-490C-9572-B901C82E3358}" destId="{FFF8D9A7-AC2E-4E22-ABD0-B7F201AF2D4D}" srcOrd="0" destOrd="5" presId="urn:microsoft.com/office/officeart/2005/8/layout/list1#2"/>
    <dgm:cxn modelId="{A87DB7F7-9F81-4A72-BA22-CF05E1CF9974}" srcId="{C8E47129-97F5-43A3-907D-759E2D50539E}" destId="{ECF4B394-25CE-440A-A721-AD6981407A0A}" srcOrd="2" destOrd="0" parTransId="{AF9186FB-0BF0-4042-80FA-F82B6F0B34A7}" sibTransId="{2DF3C38B-81A4-4F3E-9993-81BDFA5855AF}"/>
    <dgm:cxn modelId="{E4B003F9-99E1-4E8C-BD81-D9A8EBA1E56D}" srcId="{FC010AF8-DE5C-42C8-B8E0-5CFBB22ABD73}" destId="{B7BF3413-1B8F-4E19-8B6F-4B86D8C20F49}" srcOrd="6" destOrd="0" parTransId="{A171602B-A24E-4E93-8B28-41E3E63F378D}" sibTransId="{34C95F34-5B02-47C1-9952-DEFADC137EE2}"/>
    <dgm:cxn modelId="{87B26AC9-B00C-420B-83D9-DEBD2DB0750F}" type="presParOf" srcId="{11B9310B-B5FC-4A88-A755-9998867640C7}" destId="{EED2D33A-E36F-47FF-B672-D2E3A7B4D314}" srcOrd="0" destOrd="0" presId="urn:microsoft.com/office/officeart/2005/8/layout/list1#2"/>
    <dgm:cxn modelId="{E8AECDFC-0E78-49B4-955B-35D7B4EC9B06}" type="presParOf" srcId="{EED2D33A-E36F-47FF-B672-D2E3A7B4D314}" destId="{58B846F6-F21D-4188-B6CA-A4E3C15E541F}" srcOrd="0" destOrd="0" presId="urn:microsoft.com/office/officeart/2005/8/layout/list1#2"/>
    <dgm:cxn modelId="{1ECA9D56-1047-450E-BA9B-72379E30BE50}" type="presParOf" srcId="{EED2D33A-E36F-47FF-B672-D2E3A7B4D314}" destId="{79B2A09D-BF2F-4A6B-A4C5-E504AE384696}" srcOrd="1" destOrd="0" presId="urn:microsoft.com/office/officeart/2005/8/layout/list1#2"/>
    <dgm:cxn modelId="{C238D8F6-0950-498B-AC73-36A23C1D159F}" type="presParOf" srcId="{11B9310B-B5FC-4A88-A755-9998867640C7}" destId="{19F60774-44CF-4CD3-89D0-1BDE082A8820}" srcOrd="1" destOrd="0" presId="urn:microsoft.com/office/officeart/2005/8/layout/list1#2"/>
    <dgm:cxn modelId="{273DA914-CB8D-4F74-8866-E643036190A5}" type="presParOf" srcId="{11B9310B-B5FC-4A88-A755-9998867640C7}" destId="{3BD31082-5A0A-4B2F-B778-94DA62226926}" srcOrd="2" destOrd="0" presId="urn:microsoft.com/office/officeart/2005/8/layout/list1#2"/>
    <dgm:cxn modelId="{FDE64AE7-A6FB-445D-A3C4-EB5B9DBBD1E2}" type="presParOf" srcId="{11B9310B-B5FC-4A88-A755-9998867640C7}" destId="{1842B7DB-F6B0-46A0-9371-BDC71FC02B2E}" srcOrd="3" destOrd="0" presId="urn:microsoft.com/office/officeart/2005/8/layout/list1#2"/>
    <dgm:cxn modelId="{BDC6BB6D-1392-4F8D-8838-786B0C81F635}" type="presParOf" srcId="{11B9310B-B5FC-4A88-A755-9998867640C7}" destId="{2FD6FA92-9AD7-4BEE-A098-B599FF714E0A}" srcOrd="4" destOrd="0" presId="urn:microsoft.com/office/officeart/2005/8/layout/list1#2"/>
    <dgm:cxn modelId="{0B3C043C-6991-4647-B6DA-773CD340061B}" type="presParOf" srcId="{2FD6FA92-9AD7-4BEE-A098-B599FF714E0A}" destId="{1BDD6351-76D9-442C-BFB1-E3A375363DDD}" srcOrd="0" destOrd="0" presId="urn:microsoft.com/office/officeart/2005/8/layout/list1#2"/>
    <dgm:cxn modelId="{3D012A69-297E-4448-A3CA-DC2CC92BC959}" type="presParOf" srcId="{2FD6FA92-9AD7-4BEE-A098-B599FF714E0A}" destId="{50DC9E0C-4941-434B-8E64-DD02A686EF99}" srcOrd="1" destOrd="0" presId="urn:microsoft.com/office/officeart/2005/8/layout/list1#2"/>
    <dgm:cxn modelId="{9C6770AF-44EF-442F-AB1C-BA698F24DC6B}" type="presParOf" srcId="{11B9310B-B5FC-4A88-A755-9998867640C7}" destId="{328F7F53-0254-460A-94A2-31CCC6175C5A}" srcOrd="5" destOrd="0" presId="urn:microsoft.com/office/officeart/2005/8/layout/list1#2"/>
    <dgm:cxn modelId="{7FA52F8B-7424-4B42-9754-45DDB85EF167}" type="presParOf" srcId="{11B9310B-B5FC-4A88-A755-9998867640C7}" destId="{BDB3A22A-7C87-4297-9248-CE56924669BE}" srcOrd="6" destOrd="0" presId="urn:microsoft.com/office/officeart/2005/8/layout/list1#2"/>
    <dgm:cxn modelId="{AB56E9F0-D485-447D-B148-E3105017CC66}" type="presParOf" srcId="{11B9310B-B5FC-4A88-A755-9998867640C7}" destId="{28513FC6-F91E-4740-AB1F-AB6C802A6399}" srcOrd="7" destOrd="0" presId="urn:microsoft.com/office/officeart/2005/8/layout/list1#2"/>
    <dgm:cxn modelId="{3341DB02-3A11-40FA-90D8-5B8356327CF2}" type="presParOf" srcId="{11B9310B-B5FC-4A88-A755-9998867640C7}" destId="{F855FB40-0957-4755-96F1-9A0A6ECF294A}" srcOrd="8" destOrd="0" presId="urn:microsoft.com/office/officeart/2005/8/layout/list1#2"/>
    <dgm:cxn modelId="{06A6D829-C991-4EA2-B5DE-E2B5485E2499}" type="presParOf" srcId="{F855FB40-0957-4755-96F1-9A0A6ECF294A}" destId="{F44D4401-E81C-47F3-B4F7-89203D46E2AD}" srcOrd="0" destOrd="0" presId="urn:microsoft.com/office/officeart/2005/8/layout/list1#2"/>
    <dgm:cxn modelId="{449BE628-5A13-48C2-90E1-D8617E3B7980}" type="presParOf" srcId="{F855FB40-0957-4755-96F1-9A0A6ECF294A}" destId="{57973AED-4ED1-4055-A3DC-7F44880DAF38}" srcOrd="1" destOrd="0" presId="urn:microsoft.com/office/officeart/2005/8/layout/list1#2"/>
    <dgm:cxn modelId="{B04C0D4A-EB13-4B1F-9115-D48939A71955}" type="presParOf" srcId="{11B9310B-B5FC-4A88-A755-9998867640C7}" destId="{A6C726A9-98E7-4D72-B51D-9760A593AFA4}" srcOrd="9" destOrd="0" presId="urn:microsoft.com/office/officeart/2005/8/layout/list1#2"/>
    <dgm:cxn modelId="{C685CCF2-5162-48B9-8038-CA1EC3E52D2F}" type="presParOf" srcId="{11B9310B-B5FC-4A88-A755-9998867640C7}" destId="{FFF8D9A7-AC2E-4E22-ABD0-B7F201AF2D4D}" srcOrd="10" destOrd="0" presId="urn:microsoft.com/office/officeart/2005/8/layout/list1#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CAB9F-8C8A-4DD3-BFB9-DF50E81834C0}">
      <dsp:nvSpPr>
        <dsp:cNvPr id="0" name=""/>
        <dsp:cNvSpPr/>
      </dsp:nvSpPr>
      <dsp:spPr>
        <a:xfrm>
          <a:off x="0" y="647"/>
          <a:ext cx="5611495" cy="0"/>
        </a:xfrm>
        <a:prstGeom prst="line">
          <a:avLst/>
        </a:prstGeom>
        <a:gradFill rotWithShape="0">
          <a:gsLst>
            <a:gs pos="0">
              <a:schemeClr val="accent5">
                <a:alpha val="90000"/>
                <a:hueOff val="0"/>
                <a:satOff val="0"/>
                <a:lumOff val="0"/>
                <a:alphaOff val="0"/>
                <a:tint val="96000"/>
                <a:lumMod val="100000"/>
              </a:schemeClr>
            </a:gs>
            <a:gs pos="78000">
              <a:schemeClr val="accent5">
                <a:alpha val="90000"/>
                <a:hueOff val="0"/>
                <a:satOff val="0"/>
                <a:lumOff val="0"/>
                <a:alphaOff val="0"/>
                <a:shade val="94000"/>
                <a:lumMod val="94000"/>
              </a:schemeClr>
            </a:gs>
          </a:gsLst>
          <a:lin ang="5400000" scaled="0"/>
        </a:gradFill>
        <a:ln w="12700" cap="rnd" cmpd="sng" algn="ctr">
          <a:solidFill>
            <a:schemeClr val="accent5">
              <a:alpha val="90000"/>
              <a:hueOff val="0"/>
              <a:satOff val="0"/>
              <a:lumOff val="0"/>
              <a:alphaOff val="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59A85D5-3093-4A4D-912D-E5E0128E46C5}">
      <dsp:nvSpPr>
        <dsp:cNvPr id="0" name=""/>
        <dsp:cNvSpPr/>
      </dsp:nvSpPr>
      <dsp:spPr>
        <a:xfrm>
          <a:off x="0" y="64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Cambria" panose="02040503050406030204" pitchFamily="18" charset="0"/>
            <a:buNone/>
          </a:pPr>
          <a:r>
            <a:rPr lang="hr-HR" sz="1200" b="0" kern="1200">
              <a:latin typeface="Times New Roman" panose="02020603050405020304" charset="0"/>
              <a:cs typeface="Times New Roman" panose="02020603050405020304" charset="0"/>
            </a:rPr>
            <a:t>planiranje i gradnja novih zgrada u skladu s kružnim gospodarstvom</a:t>
          </a:r>
          <a:endParaRPr lang="hr-HR" sz="1200" kern="1200">
            <a:latin typeface="Times New Roman" panose="02020603050405020304" charset="0"/>
            <a:cs typeface="Times New Roman" panose="02020603050405020304" charset="0"/>
          </a:endParaRPr>
        </a:p>
      </dsp:txBody>
      <dsp:txXfrm>
        <a:off x="0" y="647"/>
        <a:ext cx="5611495" cy="441739"/>
      </dsp:txXfrm>
    </dsp:sp>
    <dsp:sp modelId="{8F1FD2F6-3A2D-4EF8-93A2-D071668901D8}">
      <dsp:nvSpPr>
        <dsp:cNvPr id="0" name=""/>
        <dsp:cNvSpPr/>
      </dsp:nvSpPr>
      <dsp:spPr>
        <a:xfrm>
          <a:off x="0" y="442387"/>
          <a:ext cx="5611495" cy="0"/>
        </a:xfrm>
        <a:prstGeom prst="line">
          <a:avLst/>
        </a:prstGeom>
        <a:gradFill rotWithShape="0">
          <a:gsLst>
            <a:gs pos="0">
              <a:schemeClr val="accent5">
                <a:alpha val="90000"/>
                <a:hueOff val="0"/>
                <a:satOff val="0"/>
                <a:lumOff val="0"/>
                <a:alphaOff val="-20000"/>
                <a:tint val="96000"/>
                <a:lumMod val="100000"/>
              </a:schemeClr>
            </a:gs>
            <a:gs pos="78000">
              <a:schemeClr val="accent5">
                <a:alpha val="90000"/>
                <a:hueOff val="0"/>
                <a:satOff val="0"/>
                <a:lumOff val="0"/>
                <a:alphaOff val="-20000"/>
                <a:shade val="94000"/>
                <a:lumMod val="94000"/>
              </a:schemeClr>
            </a:gs>
          </a:gsLst>
          <a:lin ang="5400000" scaled="0"/>
        </a:gradFill>
        <a:ln w="12700" cap="rnd" cmpd="sng" algn="ctr">
          <a:solidFill>
            <a:schemeClr val="accent5">
              <a:alpha val="90000"/>
              <a:hueOff val="0"/>
              <a:satOff val="0"/>
              <a:lumOff val="0"/>
              <a:alphaOff val="-2000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2ED3A6A-3F56-40E0-BFF9-95B27CC42053}">
      <dsp:nvSpPr>
        <dsp:cNvPr id="0" name=""/>
        <dsp:cNvSpPr/>
      </dsp:nvSpPr>
      <dsp:spPr>
        <a:xfrm>
          <a:off x="0" y="44238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Cambria" panose="02040503050406030204" pitchFamily="18" charset="0"/>
            <a:buNone/>
          </a:pPr>
          <a:r>
            <a:rPr lang="hr-HR" sz="1100" b="0" kern="1200">
              <a:latin typeface="Calibri" panose="020F0502020204030204" pitchFamily="2" charset="0"/>
              <a:cs typeface="Calibri" panose="020F0502020204030204" pitchFamily="2" charset="0"/>
            </a:rPr>
            <a:t> </a:t>
          </a:r>
          <a:r>
            <a:rPr lang="hr-HR" sz="1200" b="0" kern="1200">
              <a:latin typeface="Times New Roman" panose="02020603050405020304" charset="0"/>
              <a:cs typeface="Times New Roman" panose="02020603050405020304" charset="0"/>
            </a:rPr>
            <a:t>revitalizacija i obnova nekorištenih prostora i zgrada</a:t>
          </a:r>
          <a:endParaRPr lang="hr-HR" sz="1200" kern="1200">
            <a:latin typeface="Times New Roman" panose="02020603050405020304" charset="0"/>
            <a:cs typeface="Times New Roman" panose="02020603050405020304" charset="0"/>
          </a:endParaRPr>
        </a:p>
      </dsp:txBody>
      <dsp:txXfrm>
        <a:off x="0" y="442387"/>
        <a:ext cx="5611495" cy="441739"/>
      </dsp:txXfrm>
    </dsp:sp>
    <dsp:sp modelId="{EB6A19B3-8EE9-4E1C-B305-C0BAA30289BD}">
      <dsp:nvSpPr>
        <dsp:cNvPr id="0" name=""/>
        <dsp:cNvSpPr/>
      </dsp:nvSpPr>
      <dsp:spPr>
        <a:xfrm>
          <a:off x="0" y="884127"/>
          <a:ext cx="5611495" cy="0"/>
        </a:xfrm>
        <a:prstGeom prst="line">
          <a:avLst/>
        </a:prstGeom>
        <a:gradFill rotWithShape="0">
          <a:gsLst>
            <a:gs pos="0">
              <a:schemeClr val="accent5">
                <a:alpha val="90000"/>
                <a:hueOff val="0"/>
                <a:satOff val="0"/>
                <a:lumOff val="0"/>
                <a:alphaOff val="-40000"/>
                <a:tint val="96000"/>
                <a:lumMod val="100000"/>
              </a:schemeClr>
            </a:gs>
            <a:gs pos="78000">
              <a:schemeClr val="accent5">
                <a:alpha val="90000"/>
                <a:hueOff val="0"/>
                <a:satOff val="0"/>
                <a:lumOff val="0"/>
                <a:alphaOff val="-40000"/>
                <a:shade val="94000"/>
                <a:lumMod val="94000"/>
              </a:schemeClr>
            </a:gs>
          </a:gsLst>
          <a:lin ang="5400000" scaled="0"/>
        </a:gradFill>
        <a:ln w="12700" cap="rnd" cmpd="sng" algn="ctr">
          <a:solidFill>
            <a:schemeClr val="accent5">
              <a:alpha val="90000"/>
              <a:hueOff val="0"/>
              <a:satOff val="0"/>
              <a:lumOff val="0"/>
              <a:alphaOff val="-4000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3F80FF3-1FE3-4931-A114-CEA80B9A943E}">
      <dsp:nvSpPr>
        <dsp:cNvPr id="0" name=""/>
        <dsp:cNvSpPr/>
      </dsp:nvSpPr>
      <dsp:spPr>
        <a:xfrm>
          <a:off x="0" y="88412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Cambria" panose="02040503050406030204" pitchFamily="18" charset="0"/>
            <a:buNone/>
          </a:pPr>
          <a:r>
            <a:rPr lang="hr-HR" sz="1200" b="0" kern="1200">
              <a:latin typeface="Times New Roman" panose="02020603050405020304" charset="0"/>
              <a:cs typeface="Times New Roman" panose="02020603050405020304" charset="0"/>
            </a:rPr>
            <a:t>kružna obnova i reprogramiranje korištenih prostora i zgrada</a:t>
          </a:r>
          <a:endParaRPr lang="hr-HR" sz="1200" b="1" kern="1200">
            <a:latin typeface="Times New Roman" panose="02020603050405020304" charset="0"/>
            <a:cs typeface="Times New Roman" panose="02020603050405020304" charset="0"/>
          </a:endParaRPr>
        </a:p>
      </dsp:txBody>
      <dsp:txXfrm>
        <a:off x="0" y="884127"/>
        <a:ext cx="5611495" cy="441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31082-5A0A-4B2F-B778-94DA62226926}">
      <dsp:nvSpPr>
        <dsp:cNvPr id="0" name=""/>
        <dsp:cNvSpPr/>
      </dsp:nvSpPr>
      <dsp:spPr>
        <a:xfrm>
          <a:off x="0" y="76829"/>
          <a:ext cx="6006465" cy="3029774"/>
        </a:xfrm>
        <a:prstGeom prst="rect">
          <a:avLst/>
        </a:prstGeom>
        <a:solidFill>
          <a:schemeClr val="lt1">
            <a:alpha val="90000"/>
            <a:hueOff val="0"/>
            <a:satOff val="0"/>
            <a:lumOff val="0"/>
            <a:alphaOff val="0"/>
          </a:schemeClr>
        </a:solidFill>
        <a:ln w="19050"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broja ponovno korištenih prostora i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trajnosti, stabilnosti i sigurnosti zgrada i bolja energetska učinkovitosti istih</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broja multifunkcionalno korištenih prostora i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ugljičnog otiska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inovativnosti u razvoju novih materijala iz sekundarnih i recikliranih sirovina (kružnost materijala)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otpornost zgrada na očekivane klimatske promjene i katastrofalne događaje</a:t>
          </a:r>
        </a:p>
        <a:p>
          <a:pPr marL="36195"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potrošnje energije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razvoj lokalnih energetskih mreža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kružna upotreba vode (kišnica, tehnička voda)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zagađenja zemlje, vode i zraka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razvoj zelene infrastrukture u urbanim područjima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usporavanje širenja / kontrolirano širenje građevinskih područja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očuvanje okoliša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smanjene količine građevnog otpada</a:t>
          </a:r>
        </a:p>
      </dsp:txBody>
      <dsp:txXfrm>
        <a:off x="0" y="76829"/>
        <a:ext cx="6006465" cy="3029774"/>
      </dsp:txXfrm>
    </dsp:sp>
    <dsp:sp modelId="{79B2A09D-BF2F-4A6B-A4C5-E504AE384696}">
      <dsp:nvSpPr>
        <dsp:cNvPr id="0" name=""/>
        <dsp:cNvSpPr/>
      </dsp:nvSpPr>
      <dsp:spPr>
        <a:xfrm>
          <a:off x="300323" y="4397"/>
          <a:ext cx="4204525" cy="144863"/>
        </a:xfrm>
        <a:prstGeom prst="roundRect">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Okolišne</a:t>
          </a:r>
          <a:endParaRPr lang="hr-HR" sz="1200" kern="1200">
            <a:latin typeface="Times New Roman" panose="02020603050405020304" charset="0"/>
            <a:cs typeface="Times New Roman" panose="02020603050405020304" charset="0"/>
          </a:endParaRPr>
        </a:p>
      </dsp:txBody>
      <dsp:txXfrm>
        <a:off x="307395" y="11469"/>
        <a:ext cx="4190381" cy="130719"/>
      </dsp:txXfrm>
    </dsp:sp>
    <dsp:sp modelId="{BDB3A22A-7C87-4297-9248-CE56924669BE}">
      <dsp:nvSpPr>
        <dsp:cNvPr id="0" name=""/>
        <dsp:cNvSpPr/>
      </dsp:nvSpPr>
      <dsp:spPr>
        <a:xfrm>
          <a:off x="0" y="3205535"/>
          <a:ext cx="6006465" cy="896565"/>
        </a:xfrm>
        <a:prstGeom prst="rect">
          <a:avLst/>
        </a:prstGeom>
        <a:solidFill>
          <a:schemeClr val="lt1">
            <a:alpha val="90000"/>
            <a:hueOff val="0"/>
            <a:satOff val="0"/>
            <a:lumOff val="0"/>
            <a:alphaOff val="0"/>
          </a:schemeClr>
        </a:solidFill>
        <a:ln w="19050" cap="rnd" cmpd="sng" algn="ctr">
          <a:solidFill>
            <a:schemeClr val="accent4">
              <a:hueOff val="-4135930"/>
              <a:satOff val="23223"/>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gospodarska stabilnost temeljem neovisnosti o primarnim sirovinama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ekonomski rast temeljem veće vrijednosti i dostupnosti materijala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stope zaposlenosti</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troškovno optimizirani cjeloživotni vijek zgrada</a:t>
          </a:r>
        </a:p>
      </dsp:txBody>
      <dsp:txXfrm>
        <a:off x="0" y="3205535"/>
        <a:ext cx="6006465" cy="896565"/>
      </dsp:txXfrm>
    </dsp:sp>
    <dsp:sp modelId="{50DC9E0C-4941-434B-8E64-DD02A686EF99}">
      <dsp:nvSpPr>
        <dsp:cNvPr id="0" name=""/>
        <dsp:cNvSpPr/>
      </dsp:nvSpPr>
      <dsp:spPr>
        <a:xfrm>
          <a:off x="300323" y="3133103"/>
          <a:ext cx="4204525" cy="144863"/>
        </a:xfrm>
        <a:prstGeom prst="roundRect">
          <a:avLst/>
        </a:prstGeom>
        <a:solidFill>
          <a:schemeClr val="accent4">
            <a:hueOff val="-4135930"/>
            <a:satOff val="23223"/>
            <a:lumOff val="-1078"/>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Ekonomske</a:t>
          </a:r>
          <a:endParaRPr lang="hr-HR" sz="1200" kern="1200">
            <a:latin typeface="Times New Roman" panose="02020603050405020304" charset="0"/>
            <a:cs typeface="Times New Roman" panose="02020603050405020304" charset="0"/>
          </a:endParaRPr>
        </a:p>
      </dsp:txBody>
      <dsp:txXfrm>
        <a:off x="307395" y="3140175"/>
        <a:ext cx="4190381" cy="130719"/>
      </dsp:txXfrm>
    </dsp:sp>
    <dsp:sp modelId="{FFF8D9A7-AC2E-4E22-ABD0-B7F201AF2D4D}">
      <dsp:nvSpPr>
        <dsp:cNvPr id="0" name=""/>
        <dsp:cNvSpPr/>
      </dsp:nvSpPr>
      <dsp:spPr>
        <a:xfrm>
          <a:off x="0" y="4201032"/>
          <a:ext cx="6006465" cy="1453055"/>
        </a:xfrm>
        <a:prstGeom prst="rect">
          <a:avLst/>
        </a:prstGeom>
        <a:solidFill>
          <a:schemeClr val="lt1">
            <a:alpha val="90000"/>
            <a:hueOff val="0"/>
            <a:satOff val="0"/>
            <a:lumOff val="0"/>
            <a:alphaOff val="0"/>
          </a:schemeClr>
        </a:solidFill>
        <a:ln w="19050" cap="rnd" cmpd="sng" algn="ctr">
          <a:solidFill>
            <a:schemeClr val="accent4">
              <a:hueOff val="-8271860"/>
              <a:satOff val="46445"/>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podizanje društvene svijesti o održivom okolišu</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socijalne interakcije ljudi </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poboljšanje zdravlja i dobrobiti ljudi</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pristupačnosti</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sigurnosti </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podizanje društvene svijesti o načelima kružne ekonomije</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očuvanje kulturnih i društvenih vrijednosti</a:t>
          </a:r>
        </a:p>
      </dsp:txBody>
      <dsp:txXfrm>
        <a:off x="0" y="4201032"/>
        <a:ext cx="6006465" cy="1453055"/>
      </dsp:txXfrm>
    </dsp:sp>
    <dsp:sp modelId="{57973AED-4ED1-4055-A3DC-7F44880DAF38}">
      <dsp:nvSpPr>
        <dsp:cNvPr id="0" name=""/>
        <dsp:cNvSpPr/>
      </dsp:nvSpPr>
      <dsp:spPr>
        <a:xfrm>
          <a:off x="300323" y="4128600"/>
          <a:ext cx="4204525" cy="144863"/>
        </a:xfrm>
        <a:prstGeom prst="roundRect">
          <a:avLst/>
        </a:prstGeom>
        <a:solidFill>
          <a:schemeClr val="accent4">
            <a:hueOff val="-8271860"/>
            <a:satOff val="46445"/>
            <a:lumOff val="-215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Društvene</a:t>
          </a:r>
          <a:endParaRPr lang="hr-HR" sz="1200" kern="1200">
            <a:latin typeface="Times New Roman" panose="02020603050405020304" charset="0"/>
            <a:cs typeface="Times New Roman" panose="02020603050405020304" charset="0"/>
          </a:endParaRPr>
        </a:p>
      </dsp:txBody>
      <dsp:txXfrm>
        <a:off x="307395" y="4135672"/>
        <a:ext cx="4190381" cy="13071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Faseta">
  <a:themeElements>
    <a:clrScheme name="Mlazno strujanj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41124BC30C24E42BCFF698328276702" ma:contentTypeVersion="15" ma:contentTypeDescription="Stvaranje novog dokumenta." ma:contentTypeScope="" ma:versionID="890d94af012fe70b7b1b3566a4a029d0">
  <xsd:schema xmlns:xsd="http://www.w3.org/2001/XMLSchema" xmlns:xs="http://www.w3.org/2001/XMLSchema" xmlns:p="http://schemas.microsoft.com/office/2006/metadata/properties" xmlns:ns1="http://schemas.microsoft.com/sharepoint/v3" xmlns:ns2="b79bbf72-da78-429d-b3af-e70e85e72d43" xmlns:ns3="e7e76099-6754-463c-9cf2-a42a0296b652" targetNamespace="http://schemas.microsoft.com/office/2006/metadata/properties" ma:root="true" ma:fieldsID="35b91c4be87ec13313a81137cadbd30a" ns1:_="" ns2:_="" ns3:_="">
    <xsd:import namespace="http://schemas.microsoft.com/sharepoint/v3"/>
    <xsd:import namespace="b79bbf72-da78-429d-b3af-e70e85e72d43"/>
    <xsd:import namespace="e7e76099-6754-463c-9cf2-a42a0296b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Svojstva jedinstvenog pravilnika za usklađivanje" ma:hidden="true" ma:internalName="_ip_UnifiedCompliancePolicyProperties">
      <xsd:simpleType>
        <xsd:restriction base="dms:Note"/>
      </xsd:simpleType>
    </xsd:element>
    <xsd:element name="_ip_UnifiedCompliancePolicyUIAction" ma:index="21" nillable="true" ma:displayName="Radnja korisničkog sučelja jedinstvenog pravilnika za usklađivanj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bbf72-da78-429d-b3af-e70e85e72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e76099-6754-463c-9cf2-a42a0296b65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
    <b:Tag>Pro19</b:Tag>
    <b:SourceType>Report</b:SourceType>
    <b:Guid>{061E1534-0ED6-43D1-AA35-A385F7A49A49}</b:Guid>
    <b:Title>Program suzbijanja energetskog siromaštva koji uključuje korištenje obnovljivih izvora energije u stambenim zgradama na potpomognutim područjima i područjima posebne državne skrbi za razdoblje 2019. – 2021. godine</b:Title>
    <b:Year>2019</b:Year>
    <b:Publisher>MGIPU</b:Publisher>
    <b:City>Zagreb</b:City>
    <b:RefOrder>18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03669-2D5F-417D-9081-9F5E4906E273}">
  <ds:schemaRefs>
    <ds:schemaRef ds:uri="http://schemas.microsoft.com/sharepoint/v3/contenttype/forms"/>
  </ds:schemaRefs>
</ds:datastoreItem>
</file>

<file path=customXml/itemProps3.xml><?xml version="1.0" encoding="utf-8"?>
<ds:datastoreItem xmlns:ds="http://schemas.openxmlformats.org/officeDocument/2006/customXml" ds:itemID="{6BD9776F-5B4D-46E6-B366-B0D469C0A56B}">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b79bbf72-da78-429d-b3af-e70e85e72d43"/>
    <ds:schemaRef ds:uri="http://schemas.openxmlformats.org/package/2006/metadata/core-properties"/>
    <ds:schemaRef ds:uri="e7e76099-6754-463c-9cf2-a42a0296b652"/>
    <ds:schemaRef ds:uri="http://www.w3.org/XML/1998/namespace"/>
  </ds:schemaRefs>
</ds:datastoreItem>
</file>

<file path=customXml/itemProps4.xml><?xml version="1.0" encoding="utf-8"?>
<ds:datastoreItem xmlns:ds="http://schemas.openxmlformats.org/officeDocument/2006/customXml" ds:itemID="{5A687CC7-08C4-40A3-AA47-83F739AC9B0B}"/>
</file>

<file path=customXml/itemProps5.xml><?xml version="1.0" encoding="utf-8"?>
<ds:datastoreItem xmlns:ds="http://schemas.openxmlformats.org/officeDocument/2006/customXml" ds:itemID="{6DD45D1B-2EA9-4612-8C42-CCF4692F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36180</Words>
  <Characters>206231</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241928</CharactersWithSpaces>
  <SharedDoc>false</SharedDoc>
  <HLinks>
    <vt:vector size="642" baseType="variant">
      <vt:variant>
        <vt:i4>65556</vt:i4>
      </vt:variant>
      <vt:variant>
        <vt:i4>333</vt:i4>
      </vt:variant>
      <vt:variant>
        <vt:i4>0</vt:i4>
      </vt:variant>
      <vt:variant>
        <vt:i4>5</vt:i4>
      </vt:variant>
      <vt:variant>
        <vt:lpwstr>https://www.bamb2020.eu/</vt:lpwstr>
      </vt:variant>
      <vt:variant>
        <vt:lpwstr/>
      </vt:variant>
      <vt:variant>
        <vt:i4>6553709</vt:i4>
      </vt:variant>
      <vt:variant>
        <vt:i4>330</vt:i4>
      </vt:variant>
      <vt:variant>
        <vt:i4>0</vt:i4>
      </vt:variant>
      <vt:variant>
        <vt:i4>5</vt:i4>
      </vt:variant>
      <vt:variant>
        <vt:lpwstr>https://www.ellenmacarthurfoundation.org/our-work/activities/ce100</vt:lpwstr>
      </vt:variant>
      <vt:variant>
        <vt:lpwstr/>
      </vt:variant>
      <vt:variant>
        <vt:i4>3342433</vt:i4>
      </vt:variant>
      <vt:variant>
        <vt:i4>327</vt:i4>
      </vt:variant>
      <vt:variant>
        <vt:i4>0</vt:i4>
      </vt:variant>
      <vt:variant>
        <vt:i4>5</vt:i4>
      </vt:variant>
      <vt:variant>
        <vt:lpwstr>http://urbact.eu/2nd-chance</vt:lpwstr>
      </vt:variant>
      <vt:variant>
        <vt:lpwstr/>
      </vt:variant>
      <vt:variant>
        <vt:i4>721000</vt:i4>
      </vt:variant>
      <vt:variant>
        <vt:i4>324</vt:i4>
      </vt:variant>
      <vt:variant>
        <vt:i4>0</vt:i4>
      </vt:variant>
      <vt:variant>
        <vt:i4>5</vt:i4>
      </vt:variant>
      <vt:variant>
        <vt:lpwstr>https://ec.europa.eu/futurium/en/system/files/ged/classification_of_urban_resource_centres_0.pdf</vt:lpwstr>
      </vt:variant>
      <vt:variant>
        <vt:lpwstr/>
      </vt:variant>
      <vt:variant>
        <vt:i4>6357110</vt:i4>
      </vt:variant>
      <vt:variant>
        <vt:i4>321</vt:i4>
      </vt:variant>
      <vt:variant>
        <vt:i4>0</vt:i4>
      </vt:variant>
      <vt:variant>
        <vt:i4>5</vt:i4>
      </vt:variant>
      <vt:variant>
        <vt:lpwstr>https://www.citylab.com/transportation/2018/03/quick-easy-way-to-build-a-bus-stop-zicla/554873/</vt:lpwstr>
      </vt:variant>
      <vt:variant>
        <vt:lpwstr/>
      </vt:variant>
      <vt:variant>
        <vt:i4>4915283</vt:i4>
      </vt:variant>
      <vt:variant>
        <vt:i4>318</vt:i4>
      </vt:variant>
      <vt:variant>
        <vt:i4>0</vt:i4>
      </vt:variant>
      <vt:variant>
        <vt:i4>5</vt:i4>
      </vt:variant>
      <vt:variant>
        <vt:lpwstr>http://sustainability.bam.co.uk/case-studies/2018-01-08-elliot-hudson-college</vt:lpwstr>
      </vt:variant>
      <vt:variant>
        <vt:lpwstr/>
      </vt:variant>
      <vt:variant>
        <vt:i4>393228</vt:i4>
      </vt:variant>
      <vt:variant>
        <vt:i4>315</vt:i4>
      </vt:variant>
      <vt:variant>
        <vt:i4>0</vt:i4>
      </vt:variant>
      <vt:variant>
        <vt:i4>5</vt:i4>
      </vt:variant>
      <vt:variant>
        <vt:lpwstr>https://sustainability.bam.co.uk/case-studies/2015-07-21-seven-pancras-square</vt:lpwstr>
      </vt:variant>
      <vt:variant>
        <vt:lpwstr/>
      </vt:variant>
      <vt:variant>
        <vt:i4>8257636</vt:i4>
      </vt:variant>
      <vt:variant>
        <vt:i4>312</vt:i4>
      </vt:variant>
      <vt:variant>
        <vt:i4>0</vt:i4>
      </vt:variant>
      <vt:variant>
        <vt:i4>5</vt:i4>
      </vt:variant>
      <vt:variant>
        <vt:lpwstr>https://www.housing.gov.ie/housing/home-ownership/vacant-homes/bringing-back-homes-manual-reuse-existing-buildings</vt:lpwstr>
      </vt:variant>
      <vt:variant>
        <vt:lpwstr/>
      </vt:variant>
      <vt:variant>
        <vt:i4>1769482</vt:i4>
      </vt:variant>
      <vt:variant>
        <vt:i4>309</vt:i4>
      </vt:variant>
      <vt:variant>
        <vt:i4>0</vt:i4>
      </vt:variant>
      <vt:variant>
        <vt:i4>5</vt:i4>
      </vt:variant>
      <vt:variant>
        <vt:lpwstr>https://www.deltadevelopment.eu/en/project-development/projectdevelopment/park-2020/</vt:lpwstr>
      </vt:variant>
      <vt:variant>
        <vt:lpwstr/>
      </vt:variant>
      <vt:variant>
        <vt:i4>6094870</vt:i4>
      </vt:variant>
      <vt:variant>
        <vt:i4>306</vt:i4>
      </vt:variant>
      <vt:variant>
        <vt:i4>0</vt:i4>
      </vt:variant>
      <vt:variant>
        <vt:i4>5</vt:i4>
      </vt:variant>
      <vt:variant>
        <vt:lpwstr>https://www.uia-initiative.eu/en/uia-cities/antwerp-call2</vt:lpwstr>
      </vt:variant>
      <vt:variant>
        <vt:lpwstr/>
      </vt:variant>
      <vt:variant>
        <vt:i4>1048625</vt:i4>
      </vt:variant>
      <vt:variant>
        <vt:i4>297</vt:i4>
      </vt:variant>
      <vt:variant>
        <vt:i4>0</vt:i4>
      </vt:variant>
      <vt:variant>
        <vt:i4>5</vt:i4>
      </vt:variant>
      <vt:variant>
        <vt:lpwstr/>
      </vt:variant>
      <vt:variant>
        <vt:lpwstr>_Toc26534321</vt:lpwstr>
      </vt:variant>
      <vt:variant>
        <vt:i4>1245242</vt:i4>
      </vt:variant>
      <vt:variant>
        <vt:i4>290</vt:i4>
      </vt:variant>
      <vt:variant>
        <vt:i4>0</vt:i4>
      </vt:variant>
      <vt:variant>
        <vt:i4>5</vt:i4>
      </vt:variant>
      <vt:variant>
        <vt:lpwstr/>
      </vt:variant>
      <vt:variant>
        <vt:lpwstr>_Toc51851666</vt:lpwstr>
      </vt:variant>
      <vt:variant>
        <vt:i4>1048634</vt:i4>
      </vt:variant>
      <vt:variant>
        <vt:i4>284</vt:i4>
      </vt:variant>
      <vt:variant>
        <vt:i4>0</vt:i4>
      </vt:variant>
      <vt:variant>
        <vt:i4>5</vt:i4>
      </vt:variant>
      <vt:variant>
        <vt:lpwstr/>
      </vt:variant>
      <vt:variant>
        <vt:lpwstr>_Toc51851665</vt:lpwstr>
      </vt:variant>
      <vt:variant>
        <vt:i4>1114170</vt:i4>
      </vt:variant>
      <vt:variant>
        <vt:i4>278</vt:i4>
      </vt:variant>
      <vt:variant>
        <vt:i4>0</vt:i4>
      </vt:variant>
      <vt:variant>
        <vt:i4>5</vt:i4>
      </vt:variant>
      <vt:variant>
        <vt:lpwstr/>
      </vt:variant>
      <vt:variant>
        <vt:lpwstr>_Toc51851664</vt:lpwstr>
      </vt:variant>
      <vt:variant>
        <vt:i4>1441850</vt:i4>
      </vt:variant>
      <vt:variant>
        <vt:i4>272</vt:i4>
      </vt:variant>
      <vt:variant>
        <vt:i4>0</vt:i4>
      </vt:variant>
      <vt:variant>
        <vt:i4>5</vt:i4>
      </vt:variant>
      <vt:variant>
        <vt:lpwstr/>
      </vt:variant>
      <vt:variant>
        <vt:lpwstr>_Toc51851663</vt:lpwstr>
      </vt:variant>
      <vt:variant>
        <vt:i4>1507386</vt:i4>
      </vt:variant>
      <vt:variant>
        <vt:i4>266</vt:i4>
      </vt:variant>
      <vt:variant>
        <vt:i4>0</vt:i4>
      </vt:variant>
      <vt:variant>
        <vt:i4>5</vt:i4>
      </vt:variant>
      <vt:variant>
        <vt:lpwstr/>
      </vt:variant>
      <vt:variant>
        <vt:lpwstr>_Toc51851662</vt:lpwstr>
      </vt:variant>
      <vt:variant>
        <vt:i4>1310778</vt:i4>
      </vt:variant>
      <vt:variant>
        <vt:i4>260</vt:i4>
      </vt:variant>
      <vt:variant>
        <vt:i4>0</vt:i4>
      </vt:variant>
      <vt:variant>
        <vt:i4>5</vt:i4>
      </vt:variant>
      <vt:variant>
        <vt:lpwstr/>
      </vt:variant>
      <vt:variant>
        <vt:lpwstr>_Toc51851661</vt:lpwstr>
      </vt:variant>
      <vt:variant>
        <vt:i4>1376314</vt:i4>
      </vt:variant>
      <vt:variant>
        <vt:i4>254</vt:i4>
      </vt:variant>
      <vt:variant>
        <vt:i4>0</vt:i4>
      </vt:variant>
      <vt:variant>
        <vt:i4>5</vt:i4>
      </vt:variant>
      <vt:variant>
        <vt:lpwstr/>
      </vt:variant>
      <vt:variant>
        <vt:lpwstr>_Toc51851660</vt:lpwstr>
      </vt:variant>
      <vt:variant>
        <vt:i4>1835065</vt:i4>
      </vt:variant>
      <vt:variant>
        <vt:i4>248</vt:i4>
      </vt:variant>
      <vt:variant>
        <vt:i4>0</vt:i4>
      </vt:variant>
      <vt:variant>
        <vt:i4>5</vt:i4>
      </vt:variant>
      <vt:variant>
        <vt:lpwstr/>
      </vt:variant>
      <vt:variant>
        <vt:lpwstr>_Toc51851659</vt:lpwstr>
      </vt:variant>
      <vt:variant>
        <vt:i4>1900601</vt:i4>
      </vt:variant>
      <vt:variant>
        <vt:i4>242</vt:i4>
      </vt:variant>
      <vt:variant>
        <vt:i4>0</vt:i4>
      </vt:variant>
      <vt:variant>
        <vt:i4>5</vt:i4>
      </vt:variant>
      <vt:variant>
        <vt:lpwstr/>
      </vt:variant>
      <vt:variant>
        <vt:lpwstr>_Toc51851658</vt:lpwstr>
      </vt:variant>
      <vt:variant>
        <vt:i4>1179705</vt:i4>
      </vt:variant>
      <vt:variant>
        <vt:i4>236</vt:i4>
      </vt:variant>
      <vt:variant>
        <vt:i4>0</vt:i4>
      </vt:variant>
      <vt:variant>
        <vt:i4>5</vt:i4>
      </vt:variant>
      <vt:variant>
        <vt:lpwstr/>
      </vt:variant>
      <vt:variant>
        <vt:lpwstr>_Toc51851657</vt:lpwstr>
      </vt:variant>
      <vt:variant>
        <vt:i4>1245241</vt:i4>
      </vt:variant>
      <vt:variant>
        <vt:i4>230</vt:i4>
      </vt:variant>
      <vt:variant>
        <vt:i4>0</vt:i4>
      </vt:variant>
      <vt:variant>
        <vt:i4>5</vt:i4>
      </vt:variant>
      <vt:variant>
        <vt:lpwstr/>
      </vt:variant>
      <vt:variant>
        <vt:lpwstr>_Toc51851656</vt:lpwstr>
      </vt:variant>
      <vt:variant>
        <vt:i4>1048633</vt:i4>
      </vt:variant>
      <vt:variant>
        <vt:i4>224</vt:i4>
      </vt:variant>
      <vt:variant>
        <vt:i4>0</vt:i4>
      </vt:variant>
      <vt:variant>
        <vt:i4>5</vt:i4>
      </vt:variant>
      <vt:variant>
        <vt:lpwstr/>
      </vt:variant>
      <vt:variant>
        <vt:lpwstr>_Toc51851655</vt:lpwstr>
      </vt:variant>
      <vt:variant>
        <vt:i4>1114169</vt:i4>
      </vt:variant>
      <vt:variant>
        <vt:i4>218</vt:i4>
      </vt:variant>
      <vt:variant>
        <vt:i4>0</vt:i4>
      </vt:variant>
      <vt:variant>
        <vt:i4>5</vt:i4>
      </vt:variant>
      <vt:variant>
        <vt:lpwstr/>
      </vt:variant>
      <vt:variant>
        <vt:lpwstr>_Toc51851654</vt:lpwstr>
      </vt:variant>
      <vt:variant>
        <vt:i4>1441849</vt:i4>
      </vt:variant>
      <vt:variant>
        <vt:i4>212</vt:i4>
      </vt:variant>
      <vt:variant>
        <vt:i4>0</vt:i4>
      </vt:variant>
      <vt:variant>
        <vt:i4>5</vt:i4>
      </vt:variant>
      <vt:variant>
        <vt:lpwstr/>
      </vt:variant>
      <vt:variant>
        <vt:lpwstr>_Toc51851653</vt:lpwstr>
      </vt:variant>
      <vt:variant>
        <vt:i4>1507385</vt:i4>
      </vt:variant>
      <vt:variant>
        <vt:i4>206</vt:i4>
      </vt:variant>
      <vt:variant>
        <vt:i4>0</vt:i4>
      </vt:variant>
      <vt:variant>
        <vt:i4>5</vt:i4>
      </vt:variant>
      <vt:variant>
        <vt:lpwstr/>
      </vt:variant>
      <vt:variant>
        <vt:lpwstr>_Toc51851652</vt:lpwstr>
      </vt:variant>
      <vt:variant>
        <vt:i4>1310777</vt:i4>
      </vt:variant>
      <vt:variant>
        <vt:i4>200</vt:i4>
      </vt:variant>
      <vt:variant>
        <vt:i4>0</vt:i4>
      </vt:variant>
      <vt:variant>
        <vt:i4>5</vt:i4>
      </vt:variant>
      <vt:variant>
        <vt:lpwstr/>
      </vt:variant>
      <vt:variant>
        <vt:lpwstr>_Toc51851651</vt:lpwstr>
      </vt:variant>
      <vt:variant>
        <vt:i4>1376313</vt:i4>
      </vt:variant>
      <vt:variant>
        <vt:i4>194</vt:i4>
      </vt:variant>
      <vt:variant>
        <vt:i4>0</vt:i4>
      </vt:variant>
      <vt:variant>
        <vt:i4>5</vt:i4>
      </vt:variant>
      <vt:variant>
        <vt:lpwstr/>
      </vt:variant>
      <vt:variant>
        <vt:lpwstr>_Toc51851650</vt:lpwstr>
      </vt:variant>
      <vt:variant>
        <vt:i4>1835064</vt:i4>
      </vt:variant>
      <vt:variant>
        <vt:i4>188</vt:i4>
      </vt:variant>
      <vt:variant>
        <vt:i4>0</vt:i4>
      </vt:variant>
      <vt:variant>
        <vt:i4>5</vt:i4>
      </vt:variant>
      <vt:variant>
        <vt:lpwstr/>
      </vt:variant>
      <vt:variant>
        <vt:lpwstr>_Toc51851649</vt:lpwstr>
      </vt:variant>
      <vt:variant>
        <vt:i4>1900600</vt:i4>
      </vt:variant>
      <vt:variant>
        <vt:i4>182</vt:i4>
      </vt:variant>
      <vt:variant>
        <vt:i4>0</vt:i4>
      </vt:variant>
      <vt:variant>
        <vt:i4>5</vt:i4>
      </vt:variant>
      <vt:variant>
        <vt:lpwstr/>
      </vt:variant>
      <vt:variant>
        <vt:lpwstr>_Toc51851648</vt:lpwstr>
      </vt:variant>
      <vt:variant>
        <vt:i4>1179704</vt:i4>
      </vt:variant>
      <vt:variant>
        <vt:i4>176</vt:i4>
      </vt:variant>
      <vt:variant>
        <vt:i4>0</vt:i4>
      </vt:variant>
      <vt:variant>
        <vt:i4>5</vt:i4>
      </vt:variant>
      <vt:variant>
        <vt:lpwstr/>
      </vt:variant>
      <vt:variant>
        <vt:lpwstr>_Toc51851647</vt:lpwstr>
      </vt:variant>
      <vt:variant>
        <vt:i4>1245240</vt:i4>
      </vt:variant>
      <vt:variant>
        <vt:i4>170</vt:i4>
      </vt:variant>
      <vt:variant>
        <vt:i4>0</vt:i4>
      </vt:variant>
      <vt:variant>
        <vt:i4>5</vt:i4>
      </vt:variant>
      <vt:variant>
        <vt:lpwstr/>
      </vt:variant>
      <vt:variant>
        <vt:lpwstr>_Toc51851646</vt:lpwstr>
      </vt:variant>
      <vt:variant>
        <vt:i4>1048632</vt:i4>
      </vt:variant>
      <vt:variant>
        <vt:i4>164</vt:i4>
      </vt:variant>
      <vt:variant>
        <vt:i4>0</vt:i4>
      </vt:variant>
      <vt:variant>
        <vt:i4>5</vt:i4>
      </vt:variant>
      <vt:variant>
        <vt:lpwstr/>
      </vt:variant>
      <vt:variant>
        <vt:lpwstr>_Toc51851645</vt:lpwstr>
      </vt:variant>
      <vt:variant>
        <vt:i4>1114168</vt:i4>
      </vt:variant>
      <vt:variant>
        <vt:i4>158</vt:i4>
      </vt:variant>
      <vt:variant>
        <vt:i4>0</vt:i4>
      </vt:variant>
      <vt:variant>
        <vt:i4>5</vt:i4>
      </vt:variant>
      <vt:variant>
        <vt:lpwstr/>
      </vt:variant>
      <vt:variant>
        <vt:lpwstr>_Toc51851644</vt:lpwstr>
      </vt:variant>
      <vt:variant>
        <vt:i4>1441848</vt:i4>
      </vt:variant>
      <vt:variant>
        <vt:i4>152</vt:i4>
      </vt:variant>
      <vt:variant>
        <vt:i4>0</vt:i4>
      </vt:variant>
      <vt:variant>
        <vt:i4>5</vt:i4>
      </vt:variant>
      <vt:variant>
        <vt:lpwstr/>
      </vt:variant>
      <vt:variant>
        <vt:lpwstr>_Toc51851643</vt:lpwstr>
      </vt:variant>
      <vt:variant>
        <vt:i4>1507384</vt:i4>
      </vt:variant>
      <vt:variant>
        <vt:i4>146</vt:i4>
      </vt:variant>
      <vt:variant>
        <vt:i4>0</vt:i4>
      </vt:variant>
      <vt:variant>
        <vt:i4>5</vt:i4>
      </vt:variant>
      <vt:variant>
        <vt:lpwstr/>
      </vt:variant>
      <vt:variant>
        <vt:lpwstr>_Toc51851642</vt:lpwstr>
      </vt:variant>
      <vt:variant>
        <vt:i4>1310776</vt:i4>
      </vt:variant>
      <vt:variant>
        <vt:i4>140</vt:i4>
      </vt:variant>
      <vt:variant>
        <vt:i4>0</vt:i4>
      </vt:variant>
      <vt:variant>
        <vt:i4>5</vt:i4>
      </vt:variant>
      <vt:variant>
        <vt:lpwstr/>
      </vt:variant>
      <vt:variant>
        <vt:lpwstr>_Toc51851641</vt:lpwstr>
      </vt:variant>
      <vt:variant>
        <vt:i4>1376312</vt:i4>
      </vt:variant>
      <vt:variant>
        <vt:i4>134</vt:i4>
      </vt:variant>
      <vt:variant>
        <vt:i4>0</vt:i4>
      </vt:variant>
      <vt:variant>
        <vt:i4>5</vt:i4>
      </vt:variant>
      <vt:variant>
        <vt:lpwstr/>
      </vt:variant>
      <vt:variant>
        <vt:lpwstr>_Toc51851640</vt:lpwstr>
      </vt:variant>
      <vt:variant>
        <vt:i4>1835071</vt:i4>
      </vt:variant>
      <vt:variant>
        <vt:i4>128</vt:i4>
      </vt:variant>
      <vt:variant>
        <vt:i4>0</vt:i4>
      </vt:variant>
      <vt:variant>
        <vt:i4>5</vt:i4>
      </vt:variant>
      <vt:variant>
        <vt:lpwstr/>
      </vt:variant>
      <vt:variant>
        <vt:lpwstr>_Toc51851639</vt:lpwstr>
      </vt:variant>
      <vt:variant>
        <vt:i4>1900607</vt:i4>
      </vt:variant>
      <vt:variant>
        <vt:i4>122</vt:i4>
      </vt:variant>
      <vt:variant>
        <vt:i4>0</vt:i4>
      </vt:variant>
      <vt:variant>
        <vt:i4>5</vt:i4>
      </vt:variant>
      <vt:variant>
        <vt:lpwstr/>
      </vt:variant>
      <vt:variant>
        <vt:lpwstr>_Toc51851638</vt:lpwstr>
      </vt:variant>
      <vt:variant>
        <vt:i4>1179711</vt:i4>
      </vt:variant>
      <vt:variant>
        <vt:i4>116</vt:i4>
      </vt:variant>
      <vt:variant>
        <vt:i4>0</vt:i4>
      </vt:variant>
      <vt:variant>
        <vt:i4>5</vt:i4>
      </vt:variant>
      <vt:variant>
        <vt:lpwstr/>
      </vt:variant>
      <vt:variant>
        <vt:lpwstr>_Toc51851637</vt:lpwstr>
      </vt:variant>
      <vt:variant>
        <vt:i4>1245247</vt:i4>
      </vt:variant>
      <vt:variant>
        <vt:i4>110</vt:i4>
      </vt:variant>
      <vt:variant>
        <vt:i4>0</vt:i4>
      </vt:variant>
      <vt:variant>
        <vt:i4>5</vt:i4>
      </vt:variant>
      <vt:variant>
        <vt:lpwstr/>
      </vt:variant>
      <vt:variant>
        <vt:lpwstr>_Toc51851636</vt:lpwstr>
      </vt:variant>
      <vt:variant>
        <vt:i4>1048639</vt:i4>
      </vt:variant>
      <vt:variant>
        <vt:i4>104</vt:i4>
      </vt:variant>
      <vt:variant>
        <vt:i4>0</vt:i4>
      </vt:variant>
      <vt:variant>
        <vt:i4>5</vt:i4>
      </vt:variant>
      <vt:variant>
        <vt:lpwstr/>
      </vt:variant>
      <vt:variant>
        <vt:lpwstr>_Toc51851635</vt:lpwstr>
      </vt:variant>
      <vt:variant>
        <vt:i4>1114175</vt:i4>
      </vt:variant>
      <vt:variant>
        <vt:i4>98</vt:i4>
      </vt:variant>
      <vt:variant>
        <vt:i4>0</vt:i4>
      </vt:variant>
      <vt:variant>
        <vt:i4>5</vt:i4>
      </vt:variant>
      <vt:variant>
        <vt:lpwstr/>
      </vt:variant>
      <vt:variant>
        <vt:lpwstr>_Toc51851634</vt:lpwstr>
      </vt:variant>
      <vt:variant>
        <vt:i4>1441855</vt:i4>
      </vt:variant>
      <vt:variant>
        <vt:i4>92</vt:i4>
      </vt:variant>
      <vt:variant>
        <vt:i4>0</vt:i4>
      </vt:variant>
      <vt:variant>
        <vt:i4>5</vt:i4>
      </vt:variant>
      <vt:variant>
        <vt:lpwstr/>
      </vt:variant>
      <vt:variant>
        <vt:lpwstr>_Toc51851633</vt:lpwstr>
      </vt:variant>
      <vt:variant>
        <vt:i4>1507391</vt:i4>
      </vt:variant>
      <vt:variant>
        <vt:i4>86</vt:i4>
      </vt:variant>
      <vt:variant>
        <vt:i4>0</vt:i4>
      </vt:variant>
      <vt:variant>
        <vt:i4>5</vt:i4>
      </vt:variant>
      <vt:variant>
        <vt:lpwstr/>
      </vt:variant>
      <vt:variant>
        <vt:lpwstr>_Toc51851632</vt:lpwstr>
      </vt:variant>
      <vt:variant>
        <vt:i4>1310783</vt:i4>
      </vt:variant>
      <vt:variant>
        <vt:i4>80</vt:i4>
      </vt:variant>
      <vt:variant>
        <vt:i4>0</vt:i4>
      </vt:variant>
      <vt:variant>
        <vt:i4>5</vt:i4>
      </vt:variant>
      <vt:variant>
        <vt:lpwstr/>
      </vt:variant>
      <vt:variant>
        <vt:lpwstr>_Toc51851631</vt:lpwstr>
      </vt:variant>
      <vt:variant>
        <vt:i4>1376319</vt:i4>
      </vt:variant>
      <vt:variant>
        <vt:i4>74</vt:i4>
      </vt:variant>
      <vt:variant>
        <vt:i4>0</vt:i4>
      </vt:variant>
      <vt:variant>
        <vt:i4>5</vt:i4>
      </vt:variant>
      <vt:variant>
        <vt:lpwstr/>
      </vt:variant>
      <vt:variant>
        <vt:lpwstr>_Toc51851630</vt:lpwstr>
      </vt:variant>
      <vt:variant>
        <vt:i4>1835070</vt:i4>
      </vt:variant>
      <vt:variant>
        <vt:i4>68</vt:i4>
      </vt:variant>
      <vt:variant>
        <vt:i4>0</vt:i4>
      </vt:variant>
      <vt:variant>
        <vt:i4>5</vt:i4>
      </vt:variant>
      <vt:variant>
        <vt:lpwstr/>
      </vt:variant>
      <vt:variant>
        <vt:lpwstr>_Toc51851629</vt:lpwstr>
      </vt:variant>
      <vt:variant>
        <vt:i4>1900606</vt:i4>
      </vt:variant>
      <vt:variant>
        <vt:i4>62</vt:i4>
      </vt:variant>
      <vt:variant>
        <vt:i4>0</vt:i4>
      </vt:variant>
      <vt:variant>
        <vt:i4>5</vt:i4>
      </vt:variant>
      <vt:variant>
        <vt:lpwstr/>
      </vt:variant>
      <vt:variant>
        <vt:lpwstr>_Toc51851628</vt:lpwstr>
      </vt:variant>
      <vt:variant>
        <vt:i4>1179710</vt:i4>
      </vt:variant>
      <vt:variant>
        <vt:i4>56</vt:i4>
      </vt:variant>
      <vt:variant>
        <vt:i4>0</vt:i4>
      </vt:variant>
      <vt:variant>
        <vt:i4>5</vt:i4>
      </vt:variant>
      <vt:variant>
        <vt:lpwstr/>
      </vt:variant>
      <vt:variant>
        <vt:lpwstr>_Toc51851627</vt:lpwstr>
      </vt:variant>
      <vt:variant>
        <vt:i4>1245246</vt:i4>
      </vt:variant>
      <vt:variant>
        <vt:i4>50</vt:i4>
      </vt:variant>
      <vt:variant>
        <vt:i4>0</vt:i4>
      </vt:variant>
      <vt:variant>
        <vt:i4>5</vt:i4>
      </vt:variant>
      <vt:variant>
        <vt:lpwstr/>
      </vt:variant>
      <vt:variant>
        <vt:lpwstr>_Toc51851626</vt:lpwstr>
      </vt:variant>
      <vt:variant>
        <vt:i4>1048638</vt:i4>
      </vt:variant>
      <vt:variant>
        <vt:i4>44</vt:i4>
      </vt:variant>
      <vt:variant>
        <vt:i4>0</vt:i4>
      </vt:variant>
      <vt:variant>
        <vt:i4>5</vt:i4>
      </vt:variant>
      <vt:variant>
        <vt:lpwstr/>
      </vt:variant>
      <vt:variant>
        <vt:lpwstr>_Toc51851625</vt:lpwstr>
      </vt:variant>
      <vt:variant>
        <vt:i4>1114174</vt:i4>
      </vt:variant>
      <vt:variant>
        <vt:i4>38</vt:i4>
      </vt:variant>
      <vt:variant>
        <vt:i4>0</vt:i4>
      </vt:variant>
      <vt:variant>
        <vt:i4>5</vt:i4>
      </vt:variant>
      <vt:variant>
        <vt:lpwstr/>
      </vt:variant>
      <vt:variant>
        <vt:lpwstr>_Toc51851624</vt:lpwstr>
      </vt:variant>
      <vt:variant>
        <vt:i4>1441854</vt:i4>
      </vt:variant>
      <vt:variant>
        <vt:i4>32</vt:i4>
      </vt:variant>
      <vt:variant>
        <vt:i4>0</vt:i4>
      </vt:variant>
      <vt:variant>
        <vt:i4>5</vt:i4>
      </vt:variant>
      <vt:variant>
        <vt:lpwstr/>
      </vt:variant>
      <vt:variant>
        <vt:lpwstr>_Toc51851623</vt:lpwstr>
      </vt:variant>
      <vt:variant>
        <vt:i4>1507390</vt:i4>
      </vt:variant>
      <vt:variant>
        <vt:i4>26</vt:i4>
      </vt:variant>
      <vt:variant>
        <vt:i4>0</vt:i4>
      </vt:variant>
      <vt:variant>
        <vt:i4>5</vt:i4>
      </vt:variant>
      <vt:variant>
        <vt:lpwstr/>
      </vt:variant>
      <vt:variant>
        <vt:lpwstr>_Toc51851622</vt:lpwstr>
      </vt:variant>
      <vt:variant>
        <vt:i4>1310782</vt:i4>
      </vt:variant>
      <vt:variant>
        <vt:i4>20</vt:i4>
      </vt:variant>
      <vt:variant>
        <vt:i4>0</vt:i4>
      </vt:variant>
      <vt:variant>
        <vt:i4>5</vt:i4>
      </vt:variant>
      <vt:variant>
        <vt:lpwstr/>
      </vt:variant>
      <vt:variant>
        <vt:lpwstr>_Toc51851621</vt:lpwstr>
      </vt:variant>
      <vt:variant>
        <vt:i4>1376318</vt:i4>
      </vt:variant>
      <vt:variant>
        <vt:i4>14</vt:i4>
      </vt:variant>
      <vt:variant>
        <vt:i4>0</vt:i4>
      </vt:variant>
      <vt:variant>
        <vt:i4>5</vt:i4>
      </vt:variant>
      <vt:variant>
        <vt:lpwstr/>
      </vt:variant>
      <vt:variant>
        <vt:lpwstr>_Toc51851620</vt:lpwstr>
      </vt:variant>
      <vt:variant>
        <vt:i4>1835069</vt:i4>
      </vt:variant>
      <vt:variant>
        <vt:i4>8</vt:i4>
      </vt:variant>
      <vt:variant>
        <vt:i4>0</vt:i4>
      </vt:variant>
      <vt:variant>
        <vt:i4>5</vt:i4>
      </vt:variant>
      <vt:variant>
        <vt:lpwstr/>
      </vt:variant>
      <vt:variant>
        <vt:lpwstr>_Toc51851619</vt:lpwstr>
      </vt:variant>
      <vt:variant>
        <vt:i4>1900605</vt:i4>
      </vt:variant>
      <vt:variant>
        <vt:i4>2</vt:i4>
      </vt:variant>
      <vt:variant>
        <vt:i4>0</vt:i4>
      </vt:variant>
      <vt:variant>
        <vt:i4>5</vt:i4>
      </vt:variant>
      <vt:variant>
        <vt:lpwstr/>
      </vt:variant>
      <vt:variant>
        <vt:lpwstr>_Toc51851618</vt:lpwstr>
      </vt:variant>
      <vt:variant>
        <vt:i4>3342358</vt:i4>
      </vt:variant>
      <vt:variant>
        <vt:i4>138</vt:i4>
      </vt:variant>
      <vt:variant>
        <vt:i4>0</vt:i4>
      </vt:variant>
      <vt:variant>
        <vt:i4>5</vt:i4>
      </vt:variant>
      <vt:variant>
        <vt:lpwstr>https://ec.europa.eu/regional_policy/sources/docgener/evaluation/doc/29112018/6_Indicators2021_evalnet.pdf</vt:lpwstr>
      </vt:variant>
      <vt:variant>
        <vt:lpwstr/>
      </vt:variant>
      <vt:variant>
        <vt:i4>5701719</vt:i4>
      </vt:variant>
      <vt:variant>
        <vt:i4>135</vt:i4>
      </vt:variant>
      <vt:variant>
        <vt:i4>0</vt:i4>
      </vt:variant>
      <vt:variant>
        <vt:i4>5</vt:i4>
      </vt:variant>
      <vt:variant>
        <vt:lpwstr>https://eur-lex.europa.eu/legal-content/HR/TXT/PDF/?uri=CELEX:52018DC0029&amp;from=EN</vt:lpwstr>
      </vt:variant>
      <vt:variant>
        <vt:lpwstr/>
      </vt:variant>
      <vt:variant>
        <vt:i4>6619245</vt:i4>
      </vt:variant>
      <vt:variant>
        <vt:i4>132</vt:i4>
      </vt:variant>
      <vt:variant>
        <vt:i4>0</vt:i4>
      </vt:variant>
      <vt:variant>
        <vt:i4>5</vt:i4>
      </vt:variant>
      <vt:variant>
        <vt:lpwstr>https://mfin.gov.hr/istaknute-teme/koncesije-drzavne-potpore /drzavne-potpore/drzavne-potpore-i-plan-oporavka-i-otpornosti/3141</vt:lpwstr>
      </vt:variant>
      <vt:variant>
        <vt:lpwstr/>
      </vt:variant>
      <vt:variant>
        <vt:i4>1441829</vt:i4>
      </vt:variant>
      <vt:variant>
        <vt:i4>129</vt:i4>
      </vt:variant>
      <vt:variant>
        <vt:i4>0</vt:i4>
      </vt:variant>
      <vt:variant>
        <vt:i4>5</vt:i4>
      </vt:variant>
      <vt:variant>
        <vt:lpwstr>https://ec.europa.eu/competition/state_aid/modernisation/intro_grid_en.pdf</vt:lpwstr>
      </vt:variant>
      <vt:variant>
        <vt:lpwstr/>
      </vt:variant>
      <vt:variant>
        <vt:i4>6226005</vt:i4>
      </vt:variant>
      <vt:variant>
        <vt:i4>126</vt:i4>
      </vt:variant>
      <vt:variant>
        <vt:i4>0</vt:i4>
      </vt:variant>
      <vt:variant>
        <vt:i4>5</vt:i4>
      </vt:variant>
      <vt:variant>
        <vt:lpwstr>https://eur-lex.europa.eu/legal-content/HR/TXT/PDF/?uri=CELEX:32021R1237&amp;from=HR</vt:lpwstr>
      </vt:variant>
      <vt:variant>
        <vt:lpwstr/>
      </vt:variant>
      <vt:variant>
        <vt:i4>7536753</vt:i4>
      </vt:variant>
      <vt:variant>
        <vt:i4>123</vt:i4>
      </vt:variant>
      <vt:variant>
        <vt:i4>0</vt:i4>
      </vt:variant>
      <vt:variant>
        <vt:i4>5</vt:i4>
      </vt:variant>
      <vt:variant>
        <vt:lpwstr>https://eur-lex.europa.eu/legal-content/HR/TXT/?uri=CELEX%3A32017R1084</vt:lpwstr>
      </vt:variant>
      <vt:variant>
        <vt:lpwstr/>
      </vt:variant>
      <vt:variant>
        <vt:i4>7012385</vt:i4>
      </vt:variant>
      <vt:variant>
        <vt:i4>120</vt:i4>
      </vt:variant>
      <vt:variant>
        <vt:i4>0</vt:i4>
      </vt:variant>
      <vt:variant>
        <vt:i4>5</vt:i4>
      </vt:variant>
      <vt:variant>
        <vt:lpwstr>https://eur-lex.europa.eu/legal-content/HR/ALL/?uri=CELEX%3A52016XC0719%2805%29</vt:lpwstr>
      </vt:variant>
      <vt:variant>
        <vt:lpwstr/>
      </vt:variant>
      <vt:variant>
        <vt:i4>5439576</vt:i4>
      </vt:variant>
      <vt:variant>
        <vt:i4>117</vt:i4>
      </vt:variant>
      <vt:variant>
        <vt:i4>0</vt:i4>
      </vt:variant>
      <vt:variant>
        <vt:i4>5</vt:i4>
      </vt:variant>
      <vt:variant>
        <vt:lpwstr>https://eur-lex.europa.eu/legal-content/HR/TXT/?uri=CELEX%3A12016ME%2FTXT</vt:lpwstr>
      </vt:variant>
      <vt:variant>
        <vt:lpwstr/>
      </vt:variant>
      <vt:variant>
        <vt:i4>17432651</vt:i4>
      </vt:variant>
      <vt:variant>
        <vt:i4>114</vt:i4>
      </vt:variant>
      <vt:variant>
        <vt:i4>0</vt:i4>
      </vt:variant>
      <vt:variant>
        <vt:i4>5</vt:i4>
      </vt:variant>
      <vt:variant>
        <vt:lpwstr>https://imovina.gov.hr/UserDocsImages//dokumenti/Izvjesca//Strategija Ministarstva državne imovine za razdoblje 2019-2025_2019_10_96_1863.pdf</vt:lpwstr>
      </vt:variant>
      <vt:variant>
        <vt:lpwstr/>
      </vt:variant>
      <vt:variant>
        <vt:i4>7340141</vt:i4>
      </vt:variant>
      <vt:variant>
        <vt:i4>111</vt:i4>
      </vt:variant>
      <vt:variant>
        <vt:i4>0</vt:i4>
      </vt:variant>
      <vt:variant>
        <vt:i4>5</vt:i4>
      </vt:variant>
      <vt:variant>
        <vt:lpwstr>https://ec.europa.eu/docsroom/documents/20509/</vt:lpwstr>
      </vt:variant>
      <vt:variant>
        <vt:lpwstr/>
      </vt:variant>
      <vt:variant>
        <vt:i4>6291582</vt:i4>
      </vt:variant>
      <vt:variant>
        <vt:i4>108</vt:i4>
      </vt:variant>
      <vt:variant>
        <vt:i4>0</vt:i4>
      </vt:variant>
      <vt:variant>
        <vt:i4>5</vt:i4>
      </vt:variant>
      <vt:variant>
        <vt:lpwstr>https://eur-lex.europa.eu/legal-content/HR/TXT/?uri=CELEX%3A32008L0098</vt:lpwstr>
      </vt:variant>
      <vt:variant>
        <vt:lpwstr/>
      </vt:variant>
      <vt:variant>
        <vt:i4>327742</vt:i4>
      </vt:variant>
      <vt:variant>
        <vt:i4>105</vt:i4>
      </vt:variant>
      <vt:variant>
        <vt:i4>0</vt:i4>
      </vt:variant>
      <vt:variant>
        <vt:i4>5</vt:i4>
      </vt:variant>
      <vt:variant>
        <vt:lpwstr>https://www.dzs.hr/Hrv_Eng/ljetopis/2017/sljh2017.pdf</vt:lpwstr>
      </vt:variant>
      <vt:variant>
        <vt:lpwstr/>
      </vt:variant>
      <vt:variant>
        <vt:i4>2490433</vt:i4>
      </vt:variant>
      <vt:variant>
        <vt:i4>102</vt:i4>
      </vt:variant>
      <vt:variant>
        <vt:i4>0</vt:i4>
      </vt:variant>
      <vt:variant>
        <vt:i4>5</vt:i4>
      </vt:variant>
      <vt:variant>
        <vt:lpwstr>https://civilna-zastita.gov.hr/UserDocsImages/CIVILNA ZA%C5%A0TITA/PDF_ZA WEB/Procjena_rizika od katastrofa_2019.pdf</vt:lpwstr>
      </vt:variant>
      <vt:variant>
        <vt:lpwstr/>
      </vt:variant>
      <vt:variant>
        <vt:i4>6291491</vt:i4>
      </vt:variant>
      <vt:variant>
        <vt:i4>99</vt:i4>
      </vt:variant>
      <vt:variant>
        <vt:i4>0</vt:i4>
      </vt:variant>
      <vt:variant>
        <vt:i4>5</vt:i4>
      </vt:variant>
      <vt:variant>
        <vt:lpwstr>https://ec.europa.eu/environment/circular-economy/pdf/leading_way_global_circular_economy.pdf</vt:lpwstr>
      </vt:variant>
      <vt:variant>
        <vt:lpwstr/>
      </vt:variant>
      <vt:variant>
        <vt:i4>5570586</vt:i4>
      </vt:variant>
      <vt:variant>
        <vt:i4>96</vt:i4>
      </vt:variant>
      <vt:variant>
        <vt:i4>0</vt:i4>
      </vt:variant>
      <vt:variant>
        <vt:i4>5</vt:i4>
      </vt:variant>
      <vt:variant>
        <vt:lpwstr>https://ec.europa.eu/environment/eussd/buildings.htm</vt:lpwstr>
      </vt:variant>
      <vt:variant>
        <vt:lpwstr/>
      </vt:variant>
      <vt:variant>
        <vt:i4>1966105</vt:i4>
      </vt:variant>
      <vt:variant>
        <vt:i4>93</vt:i4>
      </vt:variant>
      <vt:variant>
        <vt:i4>0</vt:i4>
      </vt:variant>
      <vt:variant>
        <vt:i4>5</vt:i4>
      </vt:variant>
      <vt:variant>
        <vt:lpwstr>https://www.iucn.org/commissions/commission-ecosystem-management/our-work/nature-based-solutions</vt:lpwstr>
      </vt:variant>
      <vt:variant>
        <vt:lpwstr/>
      </vt:variant>
      <vt:variant>
        <vt:i4>6619178</vt:i4>
      </vt:variant>
      <vt:variant>
        <vt:i4>90</vt:i4>
      </vt:variant>
      <vt:variant>
        <vt:i4>0</vt:i4>
      </vt:variant>
      <vt:variant>
        <vt:i4>5</vt:i4>
      </vt:variant>
      <vt:variant>
        <vt:lpwstr>https://eur-lex.europa.eu/legal-content/HR/TXT/?uri=CELEX%3A52014DC0445</vt:lpwstr>
      </vt:variant>
      <vt:variant>
        <vt:lpwstr/>
      </vt:variant>
      <vt:variant>
        <vt:i4>8257569</vt:i4>
      </vt:variant>
      <vt:variant>
        <vt:i4>87</vt:i4>
      </vt:variant>
      <vt:variant>
        <vt:i4>0</vt:i4>
      </vt:variant>
      <vt:variant>
        <vt:i4>5</vt:i4>
      </vt:variant>
      <vt:variant>
        <vt:lpwstr>https://eur-lex.europa.eu/legal-content/EN/TXT/?uri=celex%3A52012DC0433</vt:lpwstr>
      </vt:variant>
      <vt:variant>
        <vt:lpwstr/>
      </vt:variant>
      <vt:variant>
        <vt:i4>1572970</vt:i4>
      </vt:variant>
      <vt:variant>
        <vt:i4>84</vt:i4>
      </vt:variant>
      <vt:variant>
        <vt:i4>0</vt:i4>
      </vt:variant>
      <vt:variant>
        <vt:i4>5</vt:i4>
      </vt:variant>
      <vt:variant>
        <vt:lpwstr>https://ec.europa.eu/environment/waste/construction_demolition.htm</vt:lpwstr>
      </vt:variant>
      <vt:variant>
        <vt:lpwstr/>
      </vt:variant>
      <vt:variant>
        <vt:i4>2555988</vt:i4>
      </vt:variant>
      <vt:variant>
        <vt:i4>81</vt:i4>
      </vt:variant>
      <vt:variant>
        <vt:i4>0</vt:i4>
      </vt:variant>
      <vt:variant>
        <vt:i4>5</vt:i4>
      </vt:variant>
      <vt:variant>
        <vt:lpwstr>https://docs.google.com/forms/d/e/1FAIpQLSf99dEUkt0uYkQzMOfiZwtGrauKI3udlaxrTxlNsSfgSZ_hHw/viewform</vt:lpwstr>
      </vt:variant>
      <vt:variant>
        <vt:lpwstr/>
      </vt:variant>
      <vt:variant>
        <vt:i4>1835103</vt:i4>
      </vt:variant>
      <vt:variant>
        <vt:i4>78</vt:i4>
      </vt:variant>
      <vt:variant>
        <vt:i4>0</vt:i4>
      </vt:variant>
      <vt:variant>
        <vt:i4>5</vt:i4>
      </vt:variant>
      <vt:variant>
        <vt:lpwstr>https://mgipu.gov.hr/vijesti/u-zagrebu-odrzana-konferencija-zelena-buducnost-grada/10428</vt:lpwstr>
      </vt:variant>
      <vt:variant>
        <vt:lpwstr/>
      </vt:variant>
      <vt:variant>
        <vt:i4>7209023</vt:i4>
      </vt:variant>
      <vt:variant>
        <vt:i4>75</vt:i4>
      </vt:variant>
      <vt:variant>
        <vt:i4>0</vt:i4>
      </vt:variant>
      <vt:variant>
        <vt:i4>5</vt:i4>
      </vt:variant>
      <vt:variant>
        <vt:lpwstr>https://www.dzs.hr/</vt:lpwstr>
      </vt:variant>
      <vt:variant>
        <vt:lpwstr/>
      </vt:variant>
      <vt:variant>
        <vt:i4>2162748</vt:i4>
      </vt:variant>
      <vt:variant>
        <vt:i4>72</vt:i4>
      </vt:variant>
      <vt:variant>
        <vt:i4>0</vt:i4>
      </vt:variant>
      <vt:variant>
        <vt:i4>5</vt:i4>
      </vt:variant>
      <vt:variant>
        <vt:lpwstr>https://ispu.mgipu.hr/</vt:lpwstr>
      </vt:variant>
      <vt:variant>
        <vt:lpwstr/>
      </vt:variant>
      <vt:variant>
        <vt:i4>1769544</vt:i4>
      </vt:variant>
      <vt:variant>
        <vt:i4>69</vt:i4>
      </vt:variant>
      <vt:variant>
        <vt:i4>0</vt:i4>
      </vt:variant>
      <vt:variant>
        <vt:i4>5</vt:i4>
      </vt:variant>
      <vt:variant>
        <vt:lpwstr>https://mgipu.gov.hr/</vt:lpwstr>
      </vt:variant>
      <vt:variant>
        <vt:lpwstr/>
      </vt:variant>
      <vt:variant>
        <vt:i4>4194417</vt:i4>
      </vt:variant>
      <vt:variant>
        <vt:i4>66</vt:i4>
      </vt:variant>
      <vt:variant>
        <vt:i4>0</vt:i4>
      </vt:variant>
      <vt:variant>
        <vt:i4>5</vt:i4>
      </vt:variant>
      <vt:variant>
        <vt:lpwstr>https://sabor.hr/sites/default/files/uploads/sabor/2021-02-25/154403/IZVJ_STANJE_U_PROSTORU_RH_2013-2019.pdf</vt:lpwstr>
      </vt:variant>
      <vt:variant>
        <vt:lpwstr/>
      </vt:variant>
      <vt:variant>
        <vt:i4>8192064</vt:i4>
      </vt:variant>
      <vt:variant>
        <vt:i4>63</vt:i4>
      </vt:variant>
      <vt:variant>
        <vt:i4>0</vt:i4>
      </vt:variant>
      <vt:variant>
        <vt:i4>5</vt:i4>
      </vt:variant>
      <vt:variant>
        <vt:lpwstr>https://mgipu.gov.hr/UserDocsImages/dokumenti/EnergetskaUcinkovitost/DSO_14.12.2020.pdf</vt:lpwstr>
      </vt:variant>
      <vt:variant>
        <vt:lpwstr/>
      </vt:variant>
      <vt:variant>
        <vt:i4>6029316</vt:i4>
      </vt:variant>
      <vt:variant>
        <vt:i4>60</vt:i4>
      </vt:variant>
      <vt:variant>
        <vt:i4>0</vt:i4>
      </vt:variant>
      <vt:variant>
        <vt:i4>5</vt:i4>
      </vt:variant>
      <vt:variant>
        <vt:lpwstr>https://mgipu.gov.hr/o-ministarstvu-15/djelokrug/energetska-ucinkovitost-u-zgradarstvu/energetska-obnova-zgrada-8321/8321</vt:lpwstr>
      </vt:variant>
      <vt:variant>
        <vt:lpwstr/>
      </vt:variant>
      <vt:variant>
        <vt:i4>8192106</vt:i4>
      </vt:variant>
      <vt:variant>
        <vt:i4>57</vt:i4>
      </vt:variant>
      <vt:variant>
        <vt:i4>0</vt:i4>
      </vt:variant>
      <vt:variant>
        <vt:i4>5</vt:i4>
      </vt:variant>
      <vt:variant>
        <vt:lpwstr>https://ec.europa.eu/energy/sites/ener/files/documents/hr_final_necp_main_hr.pdf</vt:lpwstr>
      </vt:variant>
      <vt:variant>
        <vt:lpwstr/>
      </vt:variant>
      <vt:variant>
        <vt:i4>6225976</vt:i4>
      </vt:variant>
      <vt:variant>
        <vt:i4>54</vt:i4>
      </vt:variant>
      <vt:variant>
        <vt:i4>0</vt:i4>
      </vt:variant>
      <vt:variant>
        <vt:i4>5</vt:i4>
      </vt:variant>
      <vt:variant>
        <vt:lpwstr>https://narodne-novine.nn.hr/clanci/sluzbeni/2021_02_13_230.html</vt:lpwstr>
      </vt:variant>
      <vt:variant>
        <vt:lpwstr/>
      </vt:variant>
      <vt:variant>
        <vt:i4>7012392</vt:i4>
      </vt:variant>
      <vt:variant>
        <vt:i4>51</vt:i4>
      </vt:variant>
      <vt:variant>
        <vt:i4>0</vt:i4>
      </vt:variant>
      <vt:variant>
        <vt:i4>5</vt:i4>
      </vt:variant>
      <vt:variant>
        <vt:lpwstr>https://eur-lex.europa.eu/legal-content/HR/TXT/HTML/?uri=CELEX:32021R1058&amp;qid=1631867395170&amp;from=EN</vt:lpwstr>
      </vt:variant>
      <vt:variant>
        <vt:lpwstr/>
      </vt:variant>
      <vt:variant>
        <vt:i4>4915270</vt:i4>
      </vt:variant>
      <vt:variant>
        <vt:i4>48</vt:i4>
      </vt:variant>
      <vt:variant>
        <vt:i4>0</vt:i4>
      </vt:variant>
      <vt:variant>
        <vt:i4>5</vt:i4>
      </vt:variant>
      <vt:variant>
        <vt:lpwstr>https://ec.europa.eu/transparency/regdoc/rep/1/2019/HR/COM-2019-175-F1-HR-MAIN-PART-1.PDF</vt:lpwstr>
      </vt:variant>
      <vt:variant>
        <vt:lpwstr/>
      </vt:variant>
      <vt:variant>
        <vt:i4>6160473</vt:i4>
      </vt:variant>
      <vt:variant>
        <vt:i4>45</vt:i4>
      </vt:variant>
      <vt:variant>
        <vt:i4>0</vt:i4>
      </vt:variant>
      <vt:variant>
        <vt:i4>5</vt:i4>
      </vt:variant>
      <vt:variant>
        <vt:lpwstr>https://ec.europa.eu/docsroom/documents/39984</vt:lpwstr>
      </vt:variant>
      <vt:variant>
        <vt:lpwstr/>
      </vt:variant>
      <vt:variant>
        <vt:i4>5046331</vt:i4>
      </vt:variant>
      <vt:variant>
        <vt:i4>42</vt:i4>
      </vt:variant>
      <vt:variant>
        <vt:i4>0</vt:i4>
      </vt:variant>
      <vt:variant>
        <vt:i4>5</vt:i4>
      </vt:variant>
      <vt:variant>
        <vt:lpwstr>https://ec.europa.eu/growth/content/eu-construction-and-demolition-waste-protocol-0_en</vt:lpwstr>
      </vt:variant>
      <vt:variant>
        <vt:lpwstr/>
      </vt:variant>
      <vt:variant>
        <vt:i4>4522065</vt:i4>
      </vt:variant>
      <vt:variant>
        <vt:i4>39</vt:i4>
      </vt:variant>
      <vt:variant>
        <vt:i4>0</vt:i4>
      </vt:variant>
      <vt:variant>
        <vt:i4>5</vt:i4>
      </vt:variant>
      <vt:variant>
        <vt:lpwstr>https://ec.europa.eu/energy/en/topics/energy-strategy/clean-energy-all-europeans</vt:lpwstr>
      </vt:variant>
      <vt:variant>
        <vt:lpwstr/>
      </vt:variant>
      <vt:variant>
        <vt:i4>18</vt:i4>
      </vt:variant>
      <vt:variant>
        <vt:i4>36</vt:i4>
      </vt:variant>
      <vt:variant>
        <vt:i4>0</vt:i4>
      </vt:variant>
      <vt:variant>
        <vt:i4>5</vt:i4>
      </vt:variant>
      <vt:variant>
        <vt:lpwstr>https://eur-lex.europa.eu/legal-content/EN/TXT/?uri=CELEX:52012DC0433</vt:lpwstr>
      </vt:variant>
      <vt:variant>
        <vt:lpwstr/>
      </vt:variant>
      <vt:variant>
        <vt:i4>5570586</vt:i4>
      </vt:variant>
      <vt:variant>
        <vt:i4>33</vt:i4>
      </vt:variant>
      <vt:variant>
        <vt:i4>0</vt:i4>
      </vt:variant>
      <vt:variant>
        <vt:i4>5</vt:i4>
      </vt:variant>
      <vt:variant>
        <vt:lpwstr>https://ec.europa.eu/environment/eussd/buildings.htm</vt:lpwstr>
      </vt:variant>
      <vt:variant>
        <vt:lpwstr/>
      </vt:variant>
      <vt:variant>
        <vt:i4>7209012</vt:i4>
      </vt:variant>
      <vt:variant>
        <vt:i4>30</vt:i4>
      </vt:variant>
      <vt:variant>
        <vt:i4>0</vt:i4>
      </vt:variant>
      <vt:variant>
        <vt:i4>5</vt:i4>
      </vt:variant>
      <vt:variant>
        <vt:lpwstr>https://eur-lex.europa.eu/legal-content/HR/TXT/?qid=1585811887070&amp;uri=CELEX:52020DC0098</vt:lpwstr>
      </vt:variant>
      <vt:variant>
        <vt:lpwstr/>
      </vt:variant>
      <vt:variant>
        <vt:i4>6553713</vt:i4>
      </vt:variant>
      <vt:variant>
        <vt:i4>27</vt:i4>
      </vt:variant>
      <vt:variant>
        <vt:i4>0</vt:i4>
      </vt:variant>
      <vt:variant>
        <vt:i4>5</vt:i4>
      </vt:variant>
      <vt:variant>
        <vt:lpwstr>https://eur-lex.europa.eu/legal-content/HR/TXT/HTML/?uri=CELEX:52015DC0614&amp;from=HR</vt:lpwstr>
      </vt:variant>
      <vt:variant>
        <vt:lpwstr/>
      </vt:variant>
      <vt:variant>
        <vt:i4>5439535</vt:i4>
      </vt:variant>
      <vt:variant>
        <vt:i4>24</vt:i4>
      </vt:variant>
      <vt:variant>
        <vt:i4>0</vt:i4>
      </vt:variant>
      <vt:variant>
        <vt:i4>5</vt:i4>
      </vt:variant>
      <vt:variant>
        <vt:lpwstr>https://ec.europa.eu/regional_policy/en/information/publications/brochures/2020/new-leipzig-charter-the-transformative-power-of-cities-for-the-common-good</vt:lpwstr>
      </vt:variant>
      <vt:variant>
        <vt:lpwstr/>
      </vt:variant>
      <vt:variant>
        <vt:i4>131172</vt:i4>
      </vt:variant>
      <vt:variant>
        <vt:i4>18</vt:i4>
      </vt:variant>
      <vt:variant>
        <vt:i4>0</vt:i4>
      </vt:variant>
      <vt:variant>
        <vt:i4>5</vt:i4>
      </vt:variant>
      <vt:variant>
        <vt:lpwstr>https://ec.europa.eu/regional_policy/en/information/publications/brochures/2021/territorial-agenda-2030-a-future-for-all-places</vt:lpwstr>
      </vt:variant>
      <vt:variant>
        <vt:lpwstr/>
      </vt:variant>
      <vt:variant>
        <vt:i4>1507385</vt:i4>
      </vt:variant>
      <vt:variant>
        <vt:i4>15</vt:i4>
      </vt:variant>
      <vt:variant>
        <vt:i4>0</vt:i4>
      </vt:variant>
      <vt:variant>
        <vt:i4>5</vt:i4>
      </vt:variant>
      <vt:variant>
        <vt:lpwstr>https://ec.europa.eu/regional_policy/en/information/publications/communications/2011/territorial-agenda-of-the-european-union-2020</vt:lpwstr>
      </vt:variant>
      <vt:variant>
        <vt:lpwstr/>
      </vt:variant>
      <vt:variant>
        <vt:i4>196675</vt:i4>
      </vt:variant>
      <vt:variant>
        <vt:i4>12</vt:i4>
      </vt:variant>
      <vt:variant>
        <vt:i4>0</vt:i4>
      </vt:variant>
      <vt:variant>
        <vt:i4>5</vt:i4>
      </vt:variant>
      <vt:variant>
        <vt:lpwstr>https://ec.europa.eu/futurium/en/urban-agenda</vt:lpwstr>
      </vt:variant>
      <vt:variant>
        <vt:lpwstr/>
      </vt:variant>
      <vt:variant>
        <vt:i4>6881314</vt:i4>
      </vt:variant>
      <vt:variant>
        <vt:i4>9</vt:i4>
      </vt:variant>
      <vt:variant>
        <vt:i4>0</vt:i4>
      </vt:variant>
      <vt:variant>
        <vt:i4>5</vt:i4>
      </vt:variant>
      <vt:variant>
        <vt:lpwstr>https://strukturnifondovi.hr/wp-content/uploads/2017/03/Strategija-EUROPA-2020.-hr.pdf</vt:lpwstr>
      </vt:variant>
      <vt:variant>
        <vt:lpwstr/>
      </vt:variant>
      <vt:variant>
        <vt:i4>6815787</vt:i4>
      </vt:variant>
      <vt:variant>
        <vt:i4>6</vt:i4>
      </vt:variant>
      <vt:variant>
        <vt:i4>0</vt:i4>
      </vt:variant>
      <vt:variant>
        <vt:i4>5</vt:i4>
      </vt:variant>
      <vt:variant>
        <vt:lpwstr>https://unfccc.int/process-and-meetings/the-paris-agreement/the-paris-agreement</vt:lpwstr>
      </vt:variant>
      <vt:variant>
        <vt:lpwstr/>
      </vt:variant>
      <vt:variant>
        <vt:i4>7274556</vt:i4>
      </vt:variant>
      <vt:variant>
        <vt:i4>3</vt:i4>
      </vt:variant>
      <vt:variant>
        <vt:i4>0</vt:i4>
      </vt:variant>
      <vt:variant>
        <vt:i4>5</vt:i4>
      </vt:variant>
      <vt:variant>
        <vt:lpwstr>https://population.un.org/wup/Publications/Files/WUP2018-Report.pdf</vt:lpwstr>
      </vt:variant>
      <vt:variant>
        <vt:lpwstr/>
      </vt:variant>
      <vt:variant>
        <vt:i4>1048636</vt:i4>
      </vt:variant>
      <vt:variant>
        <vt:i4>0</vt:i4>
      </vt:variant>
      <vt:variant>
        <vt:i4>0</vt:i4>
      </vt:variant>
      <vt:variant>
        <vt:i4>5</vt:i4>
      </vt:variant>
      <vt:variant>
        <vt:lpwstr>https://www.un.org/en/development/desa/population/migration/generalassembly/docs/globalcompact/A_RES_71_256.pdf</vt:lpwstr>
      </vt:variant>
      <vt:variant>
        <vt:lpwstr/>
      </vt:variant>
      <vt:variant>
        <vt:i4>5046331</vt:i4>
      </vt:variant>
      <vt:variant>
        <vt:i4>0</vt:i4>
      </vt:variant>
      <vt:variant>
        <vt:i4>0</vt:i4>
      </vt:variant>
      <vt:variant>
        <vt:i4>5</vt:i4>
      </vt:variant>
      <vt:variant>
        <vt:lpwstr>https://ec.europa.eu/growth/content/eu-construction-and-demolition-waste-protocol-0_en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Anka Javora</dc:creator>
  <cp:lastModifiedBy>Irena Š.</cp:lastModifiedBy>
  <cp:revision>8</cp:revision>
  <cp:lastPrinted>2021-12-21T15:31:00Z</cp:lastPrinted>
  <dcterms:created xsi:type="dcterms:W3CDTF">2021-12-21T15:20:00Z</dcterms:created>
  <dcterms:modified xsi:type="dcterms:W3CDTF">2021-12-21T15:31:00Z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0x010100541124BC30C24E42BCFF698328276702</vt:lpwstr>
  </property>
  <property fmtid="{D5CDD505-2E9C-101B-9397-08002B2CF9AE}" pid="3" name="KSOProductBuildVer">
    <vt:lpwstr>1033-11.2.0.10114</vt:lpwstr>
  </property>
  <property fmtid="{D5CDD505-2E9C-101B-9397-08002B2CF9AE}" pid="4" name="_dlc_DocIdItemGuid">
    <vt:lpwstr>54c52b14-68d8-4c92-9ecf-5f646ef133a8</vt:lpwstr>
  </property>
</Properties>
</file>